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B0FB5" w14:textId="07EB954F" w:rsidR="006B7E42" w:rsidRDefault="006B7E42" w:rsidP="006B7E42">
      <w:pPr>
        <w:pStyle w:val="Title"/>
      </w:pPr>
      <w:r>
        <w:t>E-learning in emergency medicine: a systematic review</w:t>
      </w:r>
    </w:p>
    <w:p w14:paraId="2F20657B" w14:textId="2B9F4587" w:rsidR="006B7E42" w:rsidRDefault="006B7E42" w:rsidP="006B7E42">
      <w:pPr>
        <w:pStyle w:val="Heading1"/>
      </w:pPr>
      <w:r>
        <w:t>Abstract</w:t>
      </w:r>
    </w:p>
    <w:p w14:paraId="08E1FA6D" w14:textId="77777777" w:rsidR="006B7E42" w:rsidRDefault="006B7E42" w:rsidP="006B7E42">
      <w:pPr>
        <w:rPr>
          <w:b/>
          <w:u w:val="single"/>
        </w:rPr>
      </w:pPr>
      <w:r>
        <w:rPr>
          <w:b/>
          <w:u w:val="single"/>
        </w:rPr>
        <w:t>Objective</w:t>
      </w:r>
    </w:p>
    <w:p w14:paraId="6050D9CC" w14:textId="77777777" w:rsidR="006B7E42" w:rsidRDefault="006B7E42" w:rsidP="006B7E42">
      <w:r>
        <w:t xml:space="preserve">E-learning (EL) has been developing as a medical education resource since the arrival of the internet. The COVID-19 pandemic has minimised clinical exposure for medical trainees and forced educators to use EL to replace traditional learning (TL) resources. The aim of this review was to determine the impact of EL versus TL on emergency medicine (EM) learning outcomes of medical trainees. </w:t>
      </w:r>
    </w:p>
    <w:p w14:paraId="18C05BC7" w14:textId="77777777" w:rsidR="006B7E42" w:rsidRDefault="006B7E42" w:rsidP="006B7E42">
      <w:pPr>
        <w:rPr>
          <w:b/>
          <w:u w:val="single"/>
        </w:rPr>
      </w:pPr>
      <w:r>
        <w:rPr>
          <w:b/>
          <w:u w:val="single"/>
        </w:rPr>
        <w:t>Methods</w:t>
      </w:r>
    </w:p>
    <w:p w14:paraId="268D8DA7" w14:textId="77777777" w:rsidR="006B7E42" w:rsidRDefault="006B7E42" w:rsidP="006B7E42">
      <w:r>
        <w:t>A systematic review was conducted according to the Preferred Reporting Items for Systematic Review and Meta-analysis (PRISMA) statement using articles sourced from CINAHL, Embase, OVID Medline and PubMed. Articles were independently reviewed by two reviewers following strict inclusion and exclusion criteria. Bias was assessed using the Cochrane Risk of Bias tool.</w:t>
      </w:r>
    </w:p>
    <w:p w14:paraId="1F800787" w14:textId="77777777" w:rsidR="006B7E42" w:rsidRDefault="006B7E42" w:rsidP="006B7E42">
      <w:pPr>
        <w:rPr>
          <w:b/>
          <w:u w:val="single"/>
        </w:rPr>
      </w:pPr>
      <w:r>
        <w:rPr>
          <w:b/>
          <w:u w:val="single"/>
        </w:rPr>
        <w:t>Results</w:t>
      </w:r>
    </w:p>
    <w:p w14:paraId="0DAD80F1" w14:textId="77777777" w:rsidR="006B7E42" w:rsidRDefault="006B7E42" w:rsidP="006B7E42">
      <w:r>
        <w:t xml:space="preserve">The search yielded a total of 1586 non-duplicate studies. A total of 19 studies were included for data extraction. 15 of the included studies assessed knowledge gain of participants using multiple-choice questions as an outcome measure. Eleven of the 15 demonstrated no statistically significant difference while two studies favoured EL with statistical significance and two favoured TL with statistical significance. Six of the included studies assessed practical skill gain of participants. Five of the six demonstrated no statistical significance while one study favoured EL with statistical significance. </w:t>
      </w:r>
    </w:p>
    <w:p w14:paraId="5438482F" w14:textId="77777777" w:rsidR="006B7E42" w:rsidRDefault="006B7E42" w:rsidP="006B7E42">
      <w:pPr>
        <w:rPr>
          <w:b/>
          <w:u w:val="single"/>
        </w:rPr>
      </w:pPr>
      <w:r>
        <w:rPr>
          <w:b/>
          <w:u w:val="single"/>
        </w:rPr>
        <w:t xml:space="preserve">Conclusion </w:t>
      </w:r>
    </w:p>
    <w:p w14:paraId="106ED57D" w14:textId="492500DF" w:rsidR="00AB6143" w:rsidRDefault="006B7E42" w:rsidP="006B7E42">
      <w:r>
        <w:t>This systematic review suggests that EL may be comparable to TL for the teaching of EM. The authors encourage the integration of EL as an adjunct to face-to-face teaching where possible in EM curricula; however, the overall low quality of evidence precludes definitive conclusions from being drawn.</w:t>
      </w:r>
    </w:p>
    <w:sectPr w:rsidR="00AB61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E42"/>
    <w:rsid w:val="000425EC"/>
    <w:rsid w:val="000B2091"/>
    <w:rsid w:val="000C7B78"/>
    <w:rsid w:val="001308E4"/>
    <w:rsid w:val="001367E6"/>
    <w:rsid w:val="00207DA0"/>
    <w:rsid w:val="00234870"/>
    <w:rsid w:val="002C5F13"/>
    <w:rsid w:val="002D2DE3"/>
    <w:rsid w:val="00372E61"/>
    <w:rsid w:val="003816F8"/>
    <w:rsid w:val="003D5F4C"/>
    <w:rsid w:val="003F1691"/>
    <w:rsid w:val="00412BAA"/>
    <w:rsid w:val="00456970"/>
    <w:rsid w:val="00545EE9"/>
    <w:rsid w:val="005B2F49"/>
    <w:rsid w:val="005C5BB0"/>
    <w:rsid w:val="005D4E85"/>
    <w:rsid w:val="006143EE"/>
    <w:rsid w:val="00650166"/>
    <w:rsid w:val="006A1CB6"/>
    <w:rsid w:val="006B7E42"/>
    <w:rsid w:val="006E7FA2"/>
    <w:rsid w:val="007649C5"/>
    <w:rsid w:val="007A3FA6"/>
    <w:rsid w:val="008274B4"/>
    <w:rsid w:val="00843908"/>
    <w:rsid w:val="008626DA"/>
    <w:rsid w:val="008F32E6"/>
    <w:rsid w:val="0094612E"/>
    <w:rsid w:val="00974CBA"/>
    <w:rsid w:val="009F7DD4"/>
    <w:rsid w:val="00A47290"/>
    <w:rsid w:val="00AA3944"/>
    <w:rsid w:val="00AB6143"/>
    <w:rsid w:val="00AD6FF2"/>
    <w:rsid w:val="00C02C96"/>
    <w:rsid w:val="00C10D45"/>
    <w:rsid w:val="00C435F7"/>
    <w:rsid w:val="00C6292B"/>
    <w:rsid w:val="00CB0B99"/>
    <w:rsid w:val="00D3127C"/>
    <w:rsid w:val="00D46249"/>
    <w:rsid w:val="00D6270D"/>
    <w:rsid w:val="00E0098A"/>
    <w:rsid w:val="00EA403D"/>
    <w:rsid w:val="00ED047E"/>
    <w:rsid w:val="00F3799C"/>
    <w:rsid w:val="00F477B4"/>
    <w:rsid w:val="00FA26BD"/>
    <w:rsid w:val="00FF2B3C"/>
    <w:rsid w:val="00FF33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9055D2A"/>
  <w15:chartTrackingRefBased/>
  <w15:docId w15:val="{2A2A3A47-F42D-1346-93A4-A43EE255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E42"/>
    <w:rPr>
      <w:rFonts w:ascii="Calibri" w:eastAsia="Calibri" w:hAnsi="Calibri" w:cs="Calibri"/>
      <w:lang w:eastAsia="en-GB"/>
    </w:rPr>
  </w:style>
  <w:style w:type="paragraph" w:styleId="Heading1">
    <w:name w:val="heading 1"/>
    <w:basedOn w:val="Normal"/>
    <w:next w:val="Normal"/>
    <w:link w:val="Heading1Char"/>
    <w:uiPriority w:val="9"/>
    <w:qFormat/>
    <w:rsid w:val="006B7E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08E4"/>
    <w:rPr>
      <w:rFonts w:ascii="Times New Roman" w:eastAsiaTheme="minorHAnsi" w:hAnsi="Times New Roman" w:cs="Times New Roman"/>
      <w:sz w:val="18"/>
      <w:szCs w:val="18"/>
      <w:lang w:eastAsia="en-US"/>
    </w:rPr>
  </w:style>
  <w:style w:type="character" w:customStyle="1" w:styleId="BalloonTextChar">
    <w:name w:val="Balloon Text Char"/>
    <w:basedOn w:val="DefaultParagraphFont"/>
    <w:link w:val="BalloonText"/>
    <w:uiPriority w:val="99"/>
    <w:semiHidden/>
    <w:rsid w:val="001308E4"/>
    <w:rPr>
      <w:rFonts w:ascii="Times New Roman" w:hAnsi="Times New Roman" w:cs="Times New Roman"/>
      <w:sz w:val="18"/>
      <w:szCs w:val="18"/>
    </w:rPr>
  </w:style>
  <w:style w:type="character" w:customStyle="1" w:styleId="Heading1Char">
    <w:name w:val="Heading 1 Char"/>
    <w:basedOn w:val="DefaultParagraphFont"/>
    <w:link w:val="Heading1"/>
    <w:uiPriority w:val="9"/>
    <w:rsid w:val="006B7E42"/>
    <w:rPr>
      <w:rFonts w:asciiTheme="majorHAnsi" w:eastAsiaTheme="majorEastAsia" w:hAnsiTheme="majorHAnsi" w:cstheme="majorBidi"/>
      <w:color w:val="2F5496" w:themeColor="accent1" w:themeShade="BF"/>
      <w:sz w:val="32"/>
      <w:szCs w:val="32"/>
      <w:lang w:eastAsia="en-GB"/>
    </w:rPr>
  </w:style>
  <w:style w:type="paragraph" w:styleId="Title">
    <w:name w:val="Title"/>
    <w:basedOn w:val="Normal"/>
    <w:next w:val="Normal"/>
    <w:link w:val="TitleChar"/>
    <w:uiPriority w:val="10"/>
    <w:qFormat/>
    <w:rsid w:val="006B7E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E42"/>
    <w:rPr>
      <w:rFonts w:asciiTheme="majorHAnsi" w:eastAsiaTheme="majorEastAsia" w:hAnsiTheme="majorHAnsi" w:cstheme="majorBidi"/>
      <w:spacing w:val="-10"/>
      <w:kern w:val="28"/>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Savage</dc:creator>
  <cp:keywords/>
  <dc:description/>
  <cp:lastModifiedBy>Alexander Savage</cp:lastModifiedBy>
  <cp:revision>1</cp:revision>
  <dcterms:created xsi:type="dcterms:W3CDTF">2022-03-04T01:59:00Z</dcterms:created>
  <dcterms:modified xsi:type="dcterms:W3CDTF">2022-03-04T01:59:00Z</dcterms:modified>
</cp:coreProperties>
</file>