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ascii="Times New Roman" w:hAnsi="Times New Roman" w:cs="Times New Roman"/>
          <w:b/>
          <w:bCs/>
          <w:sz w:val="24"/>
        </w:rPr>
      </w:pPr>
      <w:bookmarkStart w:id="0" w:name="_Hlk132213955"/>
      <w:r>
        <w:rPr>
          <w:rFonts w:hint="eastAsia" w:ascii="Times New Roman" w:hAnsi="Times New Roman" w:cs="Times New Roman"/>
          <w:b/>
          <w:bCs/>
          <w:sz w:val="24"/>
        </w:rPr>
        <w:t>Long-Term Outcomes after Conservative and EDAS treatment for 111 Elderly patients with Moyamoya Disease: Longitudinal and Cross-Sectional Study</w:t>
      </w:r>
      <w:r>
        <w:rPr>
          <w:rFonts w:ascii="Times New Roman" w:hAnsi="Times New Roman" w:cs="Times New Roman"/>
          <w:b/>
          <w:bCs/>
          <w:sz w:val="24"/>
        </w:rPr>
        <w:t xml:space="preserve"> </w:t>
      </w:r>
    </w:p>
    <w:p>
      <w:pPr>
        <w:jc w:val="left"/>
        <w:rPr>
          <w:rFonts w:ascii="Times New Roman" w:hAnsi="Times New Roman" w:cs="Times New Roman"/>
          <w:b/>
          <w:bCs/>
          <w:sz w:val="24"/>
        </w:rPr>
      </w:pPr>
    </w:p>
    <w:p>
      <w:pPr>
        <w:jc w:val="left"/>
        <w:rPr>
          <w:rFonts w:ascii="Times New Roman" w:hAnsi="Times New Roman" w:cs="Times New Roman"/>
          <w:sz w:val="24"/>
        </w:rPr>
      </w:pPr>
      <w:r>
        <w:rPr>
          <w:rFonts w:ascii="Times New Roman" w:hAnsi="Times New Roman" w:cs="Times New Roman"/>
          <w:sz w:val="24"/>
        </w:rPr>
        <w:t>Jing-Jie Li</w:t>
      </w:r>
      <w:r>
        <w:rPr>
          <w:rFonts w:ascii="Times New Roman" w:hAnsi="Times New Roman" w:cs="Times New Roman"/>
          <w:sz w:val="24"/>
          <w:vertAlign w:val="superscript"/>
        </w:rPr>
        <w:t>1,2</w:t>
      </w:r>
      <w:r>
        <w:rPr>
          <w:rFonts w:ascii="Times New Roman" w:hAnsi="Times New Roman" w:cs="Times New Roman"/>
          <w:sz w:val="24"/>
        </w:rPr>
        <w:t>, MD, Xiao-Peng Wang</w:t>
      </w:r>
      <w:r>
        <w:rPr>
          <w:rFonts w:ascii="Times New Roman" w:hAnsi="Times New Roman" w:cs="Times New Roman"/>
          <w:sz w:val="24"/>
          <w:vertAlign w:val="superscript"/>
        </w:rPr>
        <w:t>1,2</w:t>
      </w:r>
      <w:r>
        <w:rPr>
          <w:rFonts w:ascii="Times New Roman" w:hAnsi="Times New Roman" w:cs="Times New Roman"/>
          <w:sz w:val="24"/>
        </w:rPr>
        <w:t>, MM, Qian-Nan Wang</w:t>
      </w:r>
      <w:r>
        <w:rPr>
          <w:rFonts w:ascii="Times New Roman" w:hAnsi="Times New Roman" w:cs="Times New Roman"/>
          <w:sz w:val="24"/>
          <w:vertAlign w:val="superscript"/>
        </w:rPr>
        <w:t>3</w:t>
      </w:r>
      <w:r>
        <w:rPr>
          <w:rFonts w:ascii="Times New Roman" w:hAnsi="Times New Roman" w:cs="Times New Roman"/>
          <w:sz w:val="24"/>
        </w:rPr>
        <w:t>, PhD</w:t>
      </w:r>
      <w:r>
        <w:rPr>
          <w:rFonts w:hint="eastAsia" w:ascii="Times New Roman" w:hAnsi="Times New Roman" w:cs="Times New Roman"/>
          <w:sz w:val="24"/>
          <w:lang w:val="en-US" w:eastAsia="zh-CN"/>
        </w:rPr>
        <w:t xml:space="preserve">, </w:t>
      </w:r>
      <w:r>
        <w:rPr>
          <w:rFonts w:ascii="Times New Roman" w:hAnsi="Times New Roman" w:cs="Times New Roman"/>
          <w:sz w:val="24"/>
        </w:rPr>
        <w:t>Xiang-Yang Bao</w:t>
      </w:r>
      <w:r>
        <w:rPr>
          <w:rFonts w:ascii="Times New Roman" w:hAnsi="Times New Roman" w:cs="Times New Roman"/>
          <w:sz w:val="24"/>
          <w:vertAlign w:val="superscript"/>
        </w:rPr>
        <w:t>1,2</w:t>
      </w:r>
      <w:r>
        <w:rPr>
          <w:rFonts w:ascii="Times New Roman" w:hAnsi="Times New Roman" w:cs="Times New Roman"/>
          <w:sz w:val="24"/>
        </w:rPr>
        <w:t>, MM, Lian Duan</w:t>
      </w:r>
      <w:r>
        <w:rPr>
          <w:rFonts w:ascii="Times New Roman" w:hAnsi="Times New Roman" w:cs="Times New Roman"/>
          <w:sz w:val="24"/>
          <w:vertAlign w:val="superscript"/>
        </w:rPr>
        <w:t>1,2</w:t>
      </w:r>
      <w:r>
        <w:rPr>
          <w:rFonts w:ascii="Times New Roman" w:hAnsi="Times New Roman" w:cs="Times New Roman"/>
          <w:sz w:val="24"/>
        </w:rPr>
        <w:t>, PhD</w:t>
      </w:r>
    </w:p>
    <w:bookmarkEnd w:id="0"/>
    <w:p>
      <w:pPr>
        <w:jc w:val="left"/>
        <w:rPr>
          <w:rFonts w:ascii="Times New Roman" w:hAnsi="Times New Roman" w:cs="Times New Roman"/>
          <w:sz w:val="24"/>
        </w:rPr>
      </w:pPr>
    </w:p>
    <w:p>
      <w:pPr>
        <w:jc w:val="left"/>
        <w:rPr>
          <w:rFonts w:ascii="Times New Roman" w:hAnsi="Times New Roman" w:eastAsia="等线" w:cs="Times New Roman"/>
          <w:sz w:val="24"/>
        </w:rPr>
      </w:pPr>
      <w:bookmarkStart w:id="1" w:name="_Hlk132214477"/>
      <w:r>
        <w:rPr>
          <w:rFonts w:ascii="Times New Roman" w:hAnsi="Times New Roman" w:cs="Times New Roman"/>
          <w:sz w:val="24"/>
        </w:rPr>
        <w:t>1 Medical School of Chinese PLA, Beijing, 100039, China.</w:t>
      </w:r>
    </w:p>
    <w:p>
      <w:pPr>
        <w:jc w:val="left"/>
        <w:rPr>
          <w:rFonts w:ascii="Times New Roman" w:hAnsi="Times New Roman" w:cs="Times New Roman"/>
          <w:sz w:val="24"/>
        </w:rPr>
      </w:pPr>
      <w:r>
        <w:rPr>
          <w:rFonts w:ascii="Times New Roman" w:hAnsi="Times New Roman" w:cs="Times New Roman"/>
          <w:sz w:val="24"/>
        </w:rPr>
        <w:t>2 Department of Neurosurgery, the First Medical Centre, Chinese PLA General Hospital, Beijing, 100039, China</w:t>
      </w:r>
      <w:r>
        <w:rPr>
          <w:rFonts w:hint="eastAsia" w:ascii="Times New Roman" w:hAnsi="Times New Roman" w:cs="Times New Roman"/>
          <w:sz w:val="24"/>
        </w:rPr>
        <w:t>.</w:t>
      </w:r>
    </w:p>
    <w:p>
      <w:pPr>
        <w:jc w:val="left"/>
        <w:rPr>
          <w:rFonts w:ascii="Times New Roman" w:hAnsi="Times New Roman" w:cs="Times New Roman"/>
          <w:sz w:val="24"/>
        </w:rPr>
      </w:pPr>
      <w:r>
        <w:rPr>
          <w:rFonts w:ascii="Times New Roman" w:hAnsi="Times New Roman" w:cs="Times New Roman"/>
          <w:sz w:val="24"/>
        </w:rPr>
        <w:t>3 Department of Neurosurgery, the Eighth Medical Centre, Chinese PLA General Hospital, Beijing, 100000, China.</w:t>
      </w:r>
    </w:p>
    <w:p>
      <w:pPr>
        <w:jc w:val="left"/>
        <w:rPr>
          <w:rFonts w:ascii="Times New Roman" w:hAnsi="Times New Roman" w:cs="Times New Roman"/>
          <w:sz w:val="24"/>
        </w:rPr>
      </w:pPr>
    </w:p>
    <w:p>
      <w:pPr>
        <w:jc w:val="left"/>
        <w:rPr>
          <w:rFonts w:hint="default" w:ascii="Times New Roman" w:hAnsi="Times New Roman" w:cs="Times New Roman" w:eastAsiaTheme="minorEastAsia"/>
          <w:sz w:val="24"/>
          <w:lang w:val="en-US" w:eastAsia="zh-CN"/>
        </w:rPr>
      </w:pPr>
      <w:r>
        <w:rPr>
          <w:rFonts w:hint="eastAsia" w:ascii="Times New Roman" w:hAnsi="Times New Roman" w:cs="Times New Roman"/>
          <w:sz w:val="24"/>
          <w:lang w:val="en-US" w:eastAsia="zh-CN"/>
        </w:rPr>
        <w:t xml:space="preserve">Lead author: </w:t>
      </w:r>
      <w:r>
        <w:rPr>
          <w:rFonts w:ascii="Times New Roman" w:hAnsi="Times New Roman" w:cs="Times New Roman"/>
          <w:sz w:val="24"/>
        </w:rPr>
        <w:t>Jing-Jie Li</w:t>
      </w:r>
      <w:r>
        <w:rPr>
          <w:rFonts w:hint="eastAsia" w:ascii="Times New Roman" w:hAnsi="Times New Roman" w:cs="Times New Roman"/>
          <w:sz w:val="24"/>
          <w:lang w:val="en-US" w:eastAsia="zh-CN"/>
        </w:rPr>
        <w:t xml:space="preserve"> </w:t>
      </w:r>
      <w:r>
        <w:rPr>
          <w:rFonts w:hint="eastAsia" w:ascii="Times New Roman" w:hAnsi="Times New Roman" w:cs="Times New Roman"/>
          <w:sz w:val="24"/>
          <w:lang w:val="en-US" w:eastAsia="zh-CN"/>
        </w:rPr>
        <w:fldChar w:fldCharType="begin"/>
      </w:r>
      <w:r>
        <w:rPr>
          <w:rFonts w:hint="eastAsia" w:ascii="Times New Roman" w:hAnsi="Times New Roman" w:cs="Times New Roman"/>
          <w:sz w:val="24"/>
          <w:lang w:val="en-US" w:eastAsia="zh-CN"/>
        </w:rPr>
        <w:instrText xml:space="preserve"> HYPERLINK "mailto:(809165177@qq.com)" </w:instrText>
      </w:r>
      <w:r>
        <w:rPr>
          <w:rFonts w:hint="eastAsia" w:ascii="Times New Roman" w:hAnsi="Times New Roman" w:cs="Times New Roman"/>
          <w:sz w:val="24"/>
          <w:lang w:val="en-US" w:eastAsia="zh-CN"/>
        </w:rPr>
        <w:fldChar w:fldCharType="separate"/>
      </w:r>
      <w:r>
        <w:rPr>
          <w:rStyle w:val="4"/>
          <w:rFonts w:hint="eastAsia" w:ascii="Times New Roman" w:hAnsi="Times New Roman" w:cs="Times New Roman"/>
          <w:sz w:val="24"/>
          <w:lang w:val="en-US" w:eastAsia="zh-CN"/>
        </w:rPr>
        <w:t>(809165177@qq.com)</w:t>
      </w:r>
      <w:r>
        <w:rPr>
          <w:rFonts w:hint="eastAsia" w:ascii="Times New Roman" w:hAnsi="Times New Roman" w:cs="Times New Roman"/>
          <w:sz w:val="24"/>
          <w:lang w:val="en-US" w:eastAsia="zh-CN"/>
        </w:rPr>
        <w:fldChar w:fldCharType="end"/>
      </w:r>
      <w:r>
        <w:rPr>
          <w:rFonts w:hint="eastAsia" w:ascii="Times New Roman" w:hAnsi="Times New Roman" w:cs="Times New Roman"/>
          <w:sz w:val="24"/>
          <w:lang w:val="en-US" w:eastAsia="zh-CN"/>
        </w:rPr>
        <w:t xml:space="preserve"> 28 Fuxing Road, Haidian District Beijing 100039</w:t>
      </w:r>
    </w:p>
    <w:bookmarkEnd w:id="1"/>
    <w:p>
      <w:pPr>
        <w:jc w:val="left"/>
        <w:rPr>
          <w:rFonts w:ascii="Times New Roman" w:hAnsi="Times New Roman" w:cs="Times New Roman"/>
          <w:sz w:val="24"/>
        </w:rPr>
      </w:pPr>
      <w:r>
        <w:rPr>
          <w:rFonts w:ascii="Times New Roman" w:hAnsi="Times New Roman" w:cs="Times New Roman"/>
          <w:sz w:val="24"/>
        </w:rPr>
        <w:t xml:space="preserve">Corresponding author: Lian Duan </w:t>
      </w:r>
      <w:r>
        <w:rPr>
          <w:rFonts w:ascii="Times New Roman" w:hAnsi="Times New Roman" w:cs="Times New Roman"/>
          <w:sz w:val="24"/>
        </w:rPr>
        <w:fldChar w:fldCharType="begin"/>
      </w:r>
      <w:r>
        <w:rPr>
          <w:rFonts w:ascii="Times New Roman" w:hAnsi="Times New Roman" w:cs="Times New Roman"/>
          <w:sz w:val="24"/>
        </w:rPr>
        <w:instrText xml:space="preserve"> HYPERLINK "mailto:(duanlian307@sina.com)" </w:instrText>
      </w:r>
      <w:r>
        <w:rPr>
          <w:rFonts w:ascii="Times New Roman" w:hAnsi="Times New Roman" w:cs="Times New Roman"/>
          <w:sz w:val="24"/>
        </w:rPr>
        <w:fldChar w:fldCharType="separate"/>
      </w:r>
      <w:r>
        <w:rPr>
          <w:rStyle w:val="4"/>
          <w:rFonts w:ascii="Times New Roman" w:hAnsi="Times New Roman" w:cs="Times New Roman"/>
          <w:sz w:val="24"/>
        </w:rPr>
        <w:t>(duanlian307@sina.com)</w:t>
      </w:r>
      <w:r>
        <w:rPr>
          <w:rFonts w:ascii="Times New Roman" w:hAnsi="Times New Roman" w:cs="Times New Roman"/>
          <w:sz w:val="24"/>
        </w:rPr>
        <w:fldChar w:fldCharType="end"/>
      </w:r>
      <w:r>
        <w:rPr>
          <w:rFonts w:hint="eastAsia" w:ascii="Times New Roman" w:hAnsi="Times New Roman" w:cs="Times New Roman"/>
          <w:sz w:val="24"/>
          <w:lang w:val="en-US" w:eastAsia="zh-CN"/>
        </w:rPr>
        <w:t xml:space="preserve"> </w:t>
      </w:r>
      <w:r>
        <w:rPr>
          <w:rFonts w:ascii="Times New Roman" w:hAnsi="Times New Roman" w:cs="Times New Roman"/>
          <w:sz w:val="24"/>
        </w:rPr>
        <w:t>8 Dong-Da Street, Fengtai District Beijing 100071, Tel: 86-10-51128000, Fax: 86-10-62177976</w:t>
      </w:r>
    </w:p>
    <w:p>
      <w:pPr>
        <w:jc w:val="left"/>
        <w:rPr>
          <w:rFonts w:ascii="Times New Roman" w:hAnsi="Times New Roman" w:cs="Times New Roman"/>
          <w:sz w:val="24"/>
        </w:rPr>
      </w:pPr>
    </w:p>
    <w:p>
      <w:pPr>
        <w:widowControl/>
        <w:jc w:val="left"/>
        <w:rPr>
          <w:rFonts w:ascii="Times New Roman" w:hAnsi="Times New Roman" w:eastAsia="宋体" w:cs="Times New Roman"/>
          <w:b w:val="0"/>
          <w:bCs/>
          <w:kern w:val="0"/>
          <w:sz w:val="24"/>
        </w:rPr>
      </w:pPr>
      <w:r>
        <w:rPr>
          <w:rFonts w:hint="eastAsia" w:ascii="Times New Roman" w:hAnsi="Times New Roman" w:eastAsia="宋体" w:cs="Times New Roman"/>
          <w:b w:val="0"/>
          <w:bCs/>
          <w:kern w:val="0"/>
          <w:sz w:val="24"/>
        </w:rPr>
        <w:t>This study was supported by grants from the National Natural Science Foundation of China (Grant No. 82171280 &amp; 82201451).</w:t>
      </w:r>
    </w:p>
    <w:p>
      <w:pPr>
        <w:widowControl/>
        <w:jc w:val="left"/>
        <w:rPr>
          <w:rFonts w:ascii="Times New Roman" w:hAnsi="Times New Roman" w:eastAsia="宋体" w:cs="Times New Roman"/>
          <w:b/>
          <w:kern w:val="0"/>
          <w:sz w:val="24"/>
        </w:rPr>
      </w:pPr>
    </w:p>
    <w:p>
      <w:pPr>
        <w:widowControl/>
        <w:jc w:val="left"/>
        <w:rPr>
          <w:rFonts w:ascii="Times New Roman" w:hAnsi="Times New Roman" w:eastAsia="宋体" w:cs="Times New Roman"/>
          <w:b/>
          <w:kern w:val="0"/>
          <w:sz w:val="24"/>
        </w:rPr>
      </w:pPr>
    </w:p>
    <w:p>
      <w:pPr>
        <w:widowControl/>
        <w:jc w:val="left"/>
        <w:rPr>
          <w:rFonts w:ascii="Times New Roman" w:hAnsi="Times New Roman" w:eastAsia="宋体" w:cs="Times New Roman"/>
          <w:b/>
          <w:kern w:val="0"/>
          <w:sz w:val="24"/>
        </w:rPr>
      </w:pPr>
    </w:p>
    <w:p>
      <w:pPr>
        <w:widowControl/>
        <w:jc w:val="left"/>
        <w:rPr>
          <w:rFonts w:ascii="Times New Roman" w:hAnsi="Times New Roman" w:eastAsia="宋体" w:cs="Times New Roman"/>
          <w:b/>
          <w:kern w:val="0"/>
          <w:sz w:val="24"/>
        </w:rPr>
      </w:pPr>
    </w:p>
    <w:p>
      <w:pPr>
        <w:widowControl/>
        <w:jc w:val="left"/>
        <w:rPr>
          <w:rFonts w:ascii="Times New Roman" w:hAnsi="Times New Roman" w:eastAsia="宋体" w:cs="Times New Roman"/>
          <w:b/>
          <w:kern w:val="0"/>
          <w:sz w:val="24"/>
        </w:rPr>
      </w:pPr>
    </w:p>
    <w:p>
      <w:pPr>
        <w:widowControl/>
        <w:jc w:val="left"/>
        <w:rPr>
          <w:rFonts w:ascii="Times New Roman" w:hAnsi="Times New Roman" w:eastAsia="宋体" w:cs="Times New Roman"/>
          <w:b/>
          <w:kern w:val="0"/>
          <w:sz w:val="24"/>
        </w:rPr>
      </w:pPr>
    </w:p>
    <w:p>
      <w:pPr>
        <w:widowControl/>
        <w:jc w:val="left"/>
        <w:rPr>
          <w:rFonts w:ascii="Times New Roman" w:hAnsi="Times New Roman" w:eastAsia="宋体" w:cs="Times New Roman"/>
          <w:b/>
          <w:kern w:val="0"/>
          <w:sz w:val="24"/>
        </w:rPr>
      </w:pPr>
    </w:p>
    <w:p>
      <w:pPr>
        <w:widowControl/>
        <w:jc w:val="left"/>
        <w:rPr>
          <w:rFonts w:ascii="Times New Roman" w:hAnsi="Times New Roman" w:eastAsia="宋体" w:cs="Times New Roman"/>
          <w:b/>
          <w:kern w:val="0"/>
          <w:sz w:val="24"/>
        </w:rPr>
      </w:pPr>
    </w:p>
    <w:p>
      <w:pPr>
        <w:widowControl/>
        <w:jc w:val="left"/>
        <w:rPr>
          <w:rFonts w:ascii="Times New Roman" w:hAnsi="Times New Roman" w:eastAsia="宋体" w:cs="Times New Roman"/>
          <w:b/>
          <w:kern w:val="0"/>
          <w:sz w:val="24"/>
        </w:rPr>
      </w:pPr>
    </w:p>
    <w:p>
      <w:pPr>
        <w:widowControl/>
        <w:jc w:val="left"/>
        <w:rPr>
          <w:rFonts w:ascii="Times New Roman" w:hAnsi="Times New Roman" w:eastAsia="宋体" w:cs="Times New Roman"/>
          <w:b/>
          <w:kern w:val="0"/>
          <w:sz w:val="24"/>
        </w:rPr>
      </w:pPr>
    </w:p>
    <w:p>
      <w:pPr>
        <w:widowControl/>
        <w:jc w:val="left"/>
        <w:rPr>
          <w:rFonts w:ascii="Times New Roman" w:hAnsi="Times New Roman" w:eastAsia="宋体" w:cs="Times New Roman"/>
          <w:b/>
          <w:kern w:val="0"/>
          <w:sz w:val="24"/>
        </w:rPr>
      </w:pPr>
    </w:p>
    <w:p>
      <w:pPr>
        <w:widowControl/>
        <w:jc w:val="left"/>
        <w:rPr>
          <w:rFonts w:ascii="Times New Roman" w:hAnsi="Times New Roman" w:eastAsia="宋体" w:cs="Times New Roman"/>
          <w:b/>
          <w:kern w:val="0"/>
          <w:sz w:val="24"/>
        </w:rPr>
      </w:pPr>
    </w:p>
    <w:p>
      <w:pPr>
        <w:widowControl/>
        <w:jc w:val="left"/>
        <w:rPr>
          <w:rFonts w:ascii="Times New Roman" w:hAnsi="Times New Roman" w:eastAsia="宋体" w:cs="Times New Roman"/>
          <w:b/>
          <w:kern w:val="0"/>
          <w:sz w:val="24"/>
        </w:rPr>
      </w:pPr>
    </w:p>
    <w:p>
      <w:pPr>
        <w:widowControl/>
        <w:jc w:val="left"/>
        <w:rPr>
          <w:rFonts w:ascii="Times New Roman" w:hAnsi="Times New Roman" w:eastAsia="宋体" w:cs="Times New Roman"/>
          <w:b/>
          <w:kern w:val="0"/>
          <w:sz w:val="24"/>
        </w:rPr>
      </w:pPr>
    </w:p>
    <w:p>
      <w:pPr>
        <w:widowControl/>
        <w:jc w:val="left"/>
        <w:rPr>
          <w:rFonts w:ascii="Times New Roman" w:hAnsi="Times New Roman" w:eastAsia="宋体" w:cs="Times New Roman"/>
          <w:b/>
          <w:kern w:val="0"/>
          <w:sz w:val="24"/>
        </w:rPr>
      </w:pPr>
    </w:p>
    <w:p>
      <w:pPr>
        <w:widowControl/>
        <w:jc w:val="left"/>
        <w:rPr>
          <w:rFonts w:ascii="Times New Roman" w:hAnsi="Times New Roman" w:eastAsia="宋体" w:cs="Times New Roman"/>
          <w:b/>
          <w:kern w:val="0"/>
          <w:sz w:val="24"/>
        </w:rPr>
      </w:pPr>
    </w:p>
    <w:p>
      <w:pPr>
        <w:widowControl/>
        <w:jc w:val="left"/>
        <w:rPr>
          <w:rFonts w:ascii="Times New Roman" w:hAnsi="Times New Roman" w:eastAsia="宋体" w:cs="Times New Roman"/>
          <w:b/>
          <w:kern w:val="0"/>
          <w:sz w:val="24"/>
        </w:rPr>
      </w:pPr>
    </w:p>
    <w:p>
      <w:pPr>
        <w:widowControl/>
        <w:jc w:val="left"/>
        <w:rPr>
          <w:rFonts w:ascii="Times New Roman" w:hAnsi="Times New Roman" w:eastAsia="宋体" w:cs="Times New Roman"/>
          <w:b/>
          <w:kern w:val="0"/>
          <w:sz w:val="24"/>
        </w:rPr>
      </w:pPr>
    </w:p>
    <w:p>
      <w:pPr>
        <w:widowControl/>
        <w:jc w:val="left"/>
        <w:rPr>
          <w:rFonts w:ascii="Times New Roman" w:hAnsi="Times New Roman" w:eastAsia="宋体" w:cs="Times New Roman"/>
          <w:b/>
          <w:kern w:val="0"/>
          <w:sz w:val="24"/>
        </w:rPr>
      </w:pPr>
    </w:p>
    <w:p>
      <w:pPr>
        <w:widowControl/>
        <w:jc w:val="left"/>
        <w:rPr>
          <w:rFonts w:ascii="Times New Roman" w:hAnsi="Times New Roman" w:eastAsia="宋体" w:cs="Times New Roman"/>
          <w:b/>
          <w:kern w:val="0"/>
          <w:sz w:val="24"/>
        </w:rPr>
      </w:pPr>
    </w:p>
    <w:p>
      <w:pPr>
        <w:widowControl/>
        <w:jc w:val="left"/>
        <w:rPr>
          <w:rFonts w:ascii="Times New Roman" w:hAnsi="Times New Roman" w:eastAsia="宋体" w:cs="Times New Roman"/>
          <w:b/>
          <w:kern w:val="0"/>
          <w:sz w:val="24"/>
        </w:rPr>
      </w:pPr>
    </w:p>
    <w:p>
      <w:pPr>
        <w:widowControl/>
        <w:jc w:val="left"/>
        <w:rPr>
          <w:rFonts w:ascii="Times New Roman" w:hAnsi="Times New Roman" w:eastAsia="宋体" w:cs="Times New Roman"/>
          <w:b/>
          <w:kern w:val="0"/>
          <w:sz w:val="24"/>
        </w:rPr>
      </w:pPr>
    </w:p>
    <w:p>
      <w:pPr>
        <w:widowControl/>
        <w:jc w:val="left"/>
        <w:rPr>
          <w:rFonts w:ascii="Times New Roman" w:hAnsi="Times New Roman" w:eastAsia="宋体" w:cs="Times New Roman"/>
          <w:b/>
          <w:kern w:val="0"/>
          <w:sz w:val="24"/>
        </w:rPr>
      </w:pPr>
    </w:p>
    <w:p>
      <w:pPr>
        <w:widowControl/>
        <w:jc w:val="left"/>
        <w:rPr>
          <w:rFonts w:ascii="Times New Roman" w:hAnsi="Times New Roman" w:eastAsia="宋体" w:cs="Times New Roman"/>
          <w:b/>
          <w:kern w:val="0"/>
          <w:sz w:val="24"/>
        </w:rPr>
      </w:pPr>
    </w:p>
    <w:p>
      <w:pPr>
        <w:widowControl/>
        <w:jc w:val="left"/>
        <w:rPr>
          <w:rFonts w:ascii="Times New Roman" w:hAnsi="Times New Roman" w:eastAsia="宋体" w:cs="Times New Roman"/>
          <w:b/>
          <w:kern w:val="0"/>
          <w:sz w:val="24"/>
        </w:rPr>
      </w:pPr>
    </w:p>
    <w:p>
      <w:pPr>
        <w:widowControl/>
        <w:jc w:val="left"/>
        <w:rPr>
          <w:rFonts w:ascii="Times New Roman" w:hAnsi="Times New Roman" w:eastAsia="宋体" w:cs="Times New Roman"/>
          <w:b/>
          <w:kern w:val="0"/>
          <w:sz w:val="24"/>
        </w:rPr>
      </w:pPr>
      <w:r>
        <w:rPr>
          <w:rFonts w:ascii="Times New Roman" w:hAnsi="Times New Roman" w:eastAsia="宋体" w:cs="Times New Roman"/>
          <w:b/>
          <w:kern w:val="0"/>
          <w:sz w:val="24"/>
        </w:rPr>
        <w:t>Abstract</w:t>
      </w:r>
    </w:p>
    <w:p>
      <w:pPr>
        <w:widowControl/>
        <w:jc w:val="left"/>
        <w:rPr>
          <w:rFonts w:ascii="Times New Roman" w:hAnsi="Times New Roman" w:eastAsia="宋体" w:cs="Times New Roman"/>
          <w:b/>
          <w:kern w:val="0"/>
          <w:sz w:val="24"/>
        </w:rPr>
      </w:pPr>
    </w:p>
    <w:p>
      <w:pPr>
        <w:widowControl/>
        <w:jc w:val="left"/>
        <w:rPr>
          <w:rFonts w:ascii="Times New Roman" w:hAnsi="Times New Roman" w:eastAsia="宋体" w:cs="Times New Roman"/>
          <w:kern w:val="0"/>
          <w:sz w:val="24"/>
        </w:rPr>
      </w:pPr>
      <w:bookmarkStart w:id="2" w:name="_Hlk132221387"/>
      <w:r>
        <w:rPr>
          <w:rFonts w:ascii="Times New Roman" w:hAnsi="Times New Roman" w:eastAsia="宋体" w:cs="Times New Roman"/>
          <w:b/>
          <w:bCs/>
          <w:kern w:val="0"/>
          <w:sz w:val="24"/>
        </w:rPr>
        <w:t>Objective:</w:t>
      </w:r>
      <w:r>
        <w:rPr>
          <w:rFonts w:ascii="Times New Roman" w:hAnsi="Times New Roman" w:eastAsia="宋体" w:cs="Times New Roman"/>
          <w:kern w:val="0"/>
          <w:sz w:val="24"/>
        </w:rPr>
        <w:t xml:space="preserve"> </w:t>
      </w:r>
      <w:bookmarkStart w:id="3" w:name="_Hlk131731805"/>
      <w:bookmarkEnd w:id="3"/>
      <w:r>
        <w:rPr>
          <w:rFonts w:ascii="Times New Roman" w:hAnsi="Times New Roman" w:eastAsia="宋体" w:cs="Times New Roman"/>
          <w:kern w:val="0"/>
          <w:sz w:val="24"/>
        </w:rPr>
        <w:t xml:space="preserve">This study aimed to explore the clinical features of Moyamoya disease (MMD) and efficacy of </w:t>
      </w:r>
      <w:r>
        <w:rPr>
          <w:rFonts w:ascii="Times New Roman" w:hAnsi="Times New Roman" w:eastAsia="宋体" w:cs="Times New Roman"/>
          <w:iCs/>
          <w:kern w:val="0"/>
          <w:sz w:val="24"/>
        </w:rPr>
        <w:t>encephaloduroarteriosynangiosis (ED</w:t>
      </w:r>
      <w:r>
        <w:rPr>
          <w:rFonts w:hint="eastAsia" w:ascii="Times New Roman" w:hAnsi="Times New Roman" w:eastAsia="宋体" w:cs="Times New Roman"/>
          <w:iCs/>
          <w:kern w:val="0"/>
          <w:sz w:val="24"/>
          <w:lang w:val="en-US" w:eastAsia="zh-CN"/>
        </w:rPr>
        <w:t>AS</w:t>
      </w:r>
      <w:r>
        <w:rPr>
          <w:rFonts w:ascii="Times New Roman" w:hAnsi="Times New Roman" w:eastAsia="宋体" w:cs="Times New Roman"/>
          <w:iCs/>
          <w:kern w:val="0"/>
          <w:sz w:val="24"/>
        </w:rPr>
        <w:t xml:space="preserve">) </w:t>
      </w:r>
      <w:r>
        <w:rPr>
          <w:rFonts w:ascii="Times New Roman" w:hAnsi="Times New Roman" w:eastAsia="宋体" w:cs="Times New Roman"/>
          <w:kern w:val="0"/>
          <w:sz w:val="24"/>
        </w:rPr>
        <w:t>in elderly patients with MMD, and identify the risk factors for long-term stroke events.</w:t>
      </w:r>
    </w:p>
    <w:p>
      <w:pPr>
        <w:widowControl/>
        <w:jc w:val="left"/>
        <w:rPr>
          <w:rFonts w:ascii="Times New Roman" w:hAnsi="Times New Roman" w:eastAsia="宋体" w:cs="Times New Roman"/>
          <w:kern w:val="0"/>
          <w:sz w:val="24"/>
        </w:rPr>
      </w:pPr>
      <w:r>
        <w:rPr>
          <w:rFonts w:ascii="Times New Roman" w:hAnsi="Times New Roman" w:eastAsia="宋体" w:cs="Times New Roman"/>
          <w:b/>
          <w:bCs/>
          <w:kern w:val="0"/>
          <w:sz w:val="24"/>
        </w:rPr>
        <w:t>Methods:</w:t>
      </w:r>
      <w:r>
        <w:rPr>
          <w:rFonts w:ascii="Times New Roman" w:hAnsi="Times New Roman" w:eastAsia="宋体" w:cs="Times New Roman"/>
          <w:kern w:val="0"/>
          <w:sz w:val="24"/>
        </w:rPr>
        <w:t xml:space="preserve"> </w:t>
      </w:r>
      <w:bookmarkStart w:id="4" w:name="_Hlk131732008"/>
      <w:r>
        <w:rPr>
          <w:rFonts w:ascii="Times New Roman" w:hAnsi="Times New Roman" w:eastAsia="宋体" w:cs="Times New Roman"/>
          <w:kern w:val="0"/>
          <w:sz w:val="24"/>
        </w:rPr>
        <w:t>Clinical data of 111 elderly patients with MMD</w:t>
      </w:r>
      <w:bookmarkStart w:id="9" w:name="_GoBack"/>
      <w:bookmarkEnd w:id="9"/>
      <w:r>
        <w:rPr>
          <w:rFonts w:ascii="Times New Roman" w:hAnsi="Times New Roman" w:eastAsia="宋体" w:cs="Times New Roman"/>
          <w:kern w:val="0"/>
          <w:sz w:val="24"/>
        </w:rPr>
        <w:t xml:space="preserve"> (age</w:t>
      </w:r>
      <w:bookmarkEnd w:id="4"/>
      <w:r>
        <w:rPr>
          <w:rFonts w:ascii="Times New Roman" w:hAnsi="Times New Roman" w:eastAsia="宋体" w:cs="Times New Roman"/>
          <w:kern w:val="0"/>
          <w:sz w:val="24"/>
        </w:rPr>
        <w:t xml:space="preserve">d ≥ 60 years) who were treated in our center from May 2007 to December 2017 were collected. Clinical features, angiographic findings, and long-term (&gt; 5-year follow-up) outcomes were analyzed. Cox regression analysis was performed to determine the risk factors for postoperative stroke events. Long-term stroke events were analyzed using </w:t>
      </w:r>
      <w:bookmarkStart w:id="5" w:name="OLE_LINK1"/>
      <w:r>
        <w:rPr>
          <w:rFonts w:ascii="Times New Roman" w:hAnsi="Times New Roman" w:eastAsia="宋体" w:cs="Times New Roman"/>
          <w:kern w:val="0"/>
          <w:sz w:val="24"/>
        </w:rPr>
        <w:t>Kaplan–Meier curve</w:t>
      </w:r>
      <w:bookmarkEnd w:id="5"/>
      <w:r>
        <w:rPr>
          <w:rFonts w:ascii="Times New Roman" w:hAnsi="Times New Roman" w:eastAsia="宋体" w:cs="Times New Roman"/>
          <w:kern w:val="0"/>
          <w:sz w:val="24"/>
        </w:rPr>
        <w:t>s.</w:t>
      </w:r>
    </w:p>
    <w:p>
      <w:pPr>
        <w:widowControl/>
        <w:jc w:val="left"/>
        <w:rPr>
          <w:rFonts w:ascii="Times New Roman" w:hAnsi="Times New Roman" w:eastAsia="宋体" w:cs="Times New Roman"/>
          <w:kern w:val="0"/>
          <w:sz w:val="24"/>
        </w:rPr>
      </w:pPr>
      <w:r>
        <w:rPr>
          <w:rFonts w:ascii="Times New Roman" w:hAnsi="Times New Roman" w:eastAsia="宋体" w:cs="Times New Roman"/>
          <w:b/>
          <w:bCs/>
          <w:kern w:val="0"/>
          <w:sz w:val="24"/>
        </w:rPr>
        <w:t>Results</w:t>
      </w:r>
      <w:bookmarkStart w:id="6" w:name="_Hlk131732130"/>
      <w:r>
        <w:rPr>
          <w:rFonts w:ascii="Times New Roman" w:hAnsi="Times New Roman" w:eastAsia="宋体" w:cs="Times New Roman"/>
          <w:b/>
          <w:bCs/>
          <w:kern w:val="0"/>
          <w:sz w:val="24"/>
        </w:rPr>
        <w:t>:</w:t>
      </w:r>
      <w:r>
        <w:rPr>
          <w:rFonts w:ascii="Times New Roman" w:hAnsi="Times New Roman" w:eastAsia="宋体" w:cs="Times New Roman"/>
          <w:kern w:val="0"/>
          <w:sz w:val="24"/>
        </w:rPr>
        <w:t xml:space="preserve"> The average age at symptom onset was 62.9 ± 3.0 years. </w:t>
      </w:r>
      <w:bookmarkEnd w:id="6"/>
      <w:r>
        <w:rPr>
          <w:rFonts w:ascii="Times New Roman" w:hAnsi="Times New Roman" w:eastAsia="宋体" w:cs="Times New Roman"/>
          <w:kern w:val="0"/>
          <w:sz w:val="24"/>
        </w:rPr>
        <w:t>Vascular comorbidities were present in 80 (72.1%) patients. The ratio of female to male patients was 1:1.2. Familial MMD was found in seven (6.3%) patients. Cerebral ischemia was the most common clinical manifestation observed in 82 (73.9%) patients. Most patients (59.5%) presented with Suzuki stages V and VI of MMD</w:t>
      </w:r>
      <w:r>
        <w:rPr>
          <w:rFonts w:hint="eastAsia" w:ascii="Times New Roman" w:hAnsi="Times New Roman" w:eastAsia="宋体" w:cs="Times New Roman"/>
          <w:kern w:val="0"/>
          <w:sz w:val="24"/>
        </w:rPr>
        <w:t xml:space="preserve"> and </w:t>
      </w:r>
      <w:r>
        <w:rPr>
          <w:rFonts w:ascii="Times New Roman" w:hAnsi="Times New Roman" w:eastAsia="宋体" w:cs="Times New Roman"/>
          <w:kern w:val="0"/>
          <w:sz w:val="24"/>
        </w:rPr>
        <w:t>29 (26.1%) patients presented with stenosis or occlusion of the posterior circulation involvement (PCI). Unilateral MMD was present in 17 (15.3%) patients. Among the 58 (52.3%) patients who underwent EDAS, 28 (48.3%) and 30 (51.7%) underwent bilateral and unilateral EDAS, respectively. Overall, 53 (47.8%) patients were treated conservatively using internal medicine. After a median follow-up duration of 8.2 years, stroke incidence in the EDAS and conservative treatment groups was 17.2% (seven and three cases of cerebral infarctions and hemorrhages, respectively) and 50.0% (22 and four cases of cerebral infarctions and hemorrhages, respectively), respectively. Stroke incidence rate was higher in the conservative group than in the EDAS group with a statistically significant difference (p = 0.001) according to the result of the Kaplan–Meier analysis. The identified predictor of postoperative stroke events was hemorrhage in the EDSA group and advanced age, aneurysm, and initial ischemia in the conservative treatment group.</w:t>
      </w:r>
    </w:p>
    <w:p>
      <w:pPr>
        <w:widowControl/>
        <w:jc w:val="left"/>
        <w:rPr>
          <w:rFonts w:ascii="Times New Roman" w:hAnsi="Times New Roman" w:eastAsia="宋体" w:cs="Times New Roman"/>
          <w:kern w:val="0"/>
          <w:sz w:val="24"/>
        </w:rPr>
      </w:pPr>
      <w:r>
        <w:rPr>
          <w:rFonts w:ascii="Times New Roman" w:hAnsi="Times New Roman" w:eastAsia="宋体" w:cs="Times New Roman"/>
          <w:b/>
          <w:bCs/>
          <w:kern w:val="0"/>
          <w:sz w:val="24"/>
        </w:rPr>
        <w:t>Conclusions:</w:t>
      </w:r>
      <w:r>
        <w:rPr>
          <w:rFonts w:ascii="Times New Roman" w:hAnsi="Times New Roman" w:eastAsia="宋体" w:cs="Times New Roman"/>
          <w:kern w:val="0"/>
          <w:sz w:val="24"/>
        </w:rPr>
        <w:t xml:space="preserve"> </w:t>
      </w:r>
      <w:bookmarkStart w:id="7" w:name="_Hlk131732432"/>
      <w:bookmarkEnd w:id="7"/>
      <w:bookmarkStart w:id="8" w:name="_Hlk132225898"/>
      <w:r>
        <w:rPr>
          <w:rFonts w:ascii="Times New Roman" w:hAnsi="Times New Roman" w:eastAsia="宋体" w:cs="Times New Roman"/>
          <w:kern w:val="0"/>
          <w:sz w:val="24"/>
        </w:rPr>
        <w:t>Postoperative long-term stroke rate in elderly patients with MMD in the EDAS group was lower than that in patients in the conservative treatment group. Long-term stroke events were associated with advanced age, aneurysm, and initial ischemia after conservative treatment and only initial hemorrhage after EDAS.</w:t>
      </w:r>
    </w:p>
    <w:bookmarkEnd w:id="2"/>
    <w:bookmarkEnd w:id="8"/>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A3MjcyOGFmMjVkODEwMmNkNDJjNDZjMDM1YTcwODYifQ=="/>
  </w:docVars>
  <w:rsids>
    <w:rsidRoot w:val="49935905"/>
    <w:rsid w:val="499359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character" w:styleId="4">
    <w:name w:val="Hyperlink"/>
    <w:basedOn w:val="3"/>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2023-07-26T10:42:00Z</dcterms:created>
  <dc:creator>   lijingjie</dc:creator>
  <cp:lastModifiedBy>   lijingjie</cp:lastModifiedBy>
  <dcterms:modified xsi:type="dcterms:W3CDTF">2023-07-26T10:57:02Z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E373901BCE7C47A1A4FFC6374EC787E5_11</vt:lpwstr>
  </property>
</Properties>
</file>