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27AFB" w14:textId="77777777" w:rsidR="00B94B26" w:rsidRDefault="00B94B26" w:rsidP="00B94B26">
      <w:pPr>
        <w:autoSpaceDE w:val="0"/>
        <w:autoSpaceDN w:val="0"/>
        <w:adjustRightInd w:val="0"/>
        <w:rPr>
          <w:rFonts w:ascii="AppleSystemUIFont" w:eastAsiaTheme="minorHAnsi" w:hAnsi="AppleSystemUIFont" w:cs="AppleSystemUIFont"/>
          <w:lang w:val="en-GB"/>
        </w:rPr>
      </w:pPr>
      <w:r>
        <w:rPr>
          <w:rFonts w:ascii="AppleSystemUIFont" w:eastAsiaTheme="minorHAnsi" w:hAnsi="AppleSystemUIFont" w:cs="AppleSystemUIFont"/>
          <w:lang w:val="en-GB"/>
        </w:rPr>
        <w:t>Dissecting the Functional Connectivity in Cytoarchitectonic Subdivisions of the Primary Motor Cortex: The Interplay of Handedness and Hemispheric Lateralization</w:t>
      </w:r>
    </w:p>
    <w:p w14:paraId="7DB4DCA6" w14:textId="77777777" w:rsidR="00B94B26" w:rsidRPr="0076010C" w:rsidRDefault="00B94B26" w:rsidP="00B94B26">
      <w:pPr>
        <w:jc w:val="center"/>
        <w:rPr>
          <w:rFonts w:asciiTheme="majorBidi" w:hAnsiTheme="majorBidi" w:cstheme="majorBidi"/>
          <w:lang w:val="en-GB"/>
        </w:rPr>
      </w:pPr>
    </w:p>
    <w:p w14:paraId="76BA2FEF" w14:textId="77777777" w:rsidR="00B94B26" w:rsidRDefault="00B94B26" w:rsidP="00B94B26">
      <w:pPr>
        <w:rPr>
          <w:rFonts w:cstheme="minorHAnsi"/>
          <w:vertAlign w:val="superscript"/>
          <w:lang w:val="en-GB"/>
        </w:rPr>
      </w:pPr>
      <w:r>
        <w:rPr>
          <w:rFonts w:asciiTheme="majorBidi" w:hAnsiTheme="majorBidi" w:cstheme="majorBidi"/>
          <w:lang w:val="en-GB"/>
        </w:rPr>
        <w:t>Adnan A.S. Alahmadi</w:t>
      </w:r>
      <w:r>
        <w:rPr>
          <w:rFonts w:asciiTheme="majorBidi" w:hAnsiTheme="majorBidi" w:cstheme="majorBidi"/>
          <w:vertAlign w:val="superscript"/>
          <w:lang w:val="en-GB"/>
        </w:rPr>
        <w:t>1,2*</w:t>
      </w:r>
    </w:p>
    <w:p w14:paraId="5FCDEDD7" w14:textId="77777777" w:rsidR="00B94B26" w:rsidRDefault="00B94B26" w:rsidP="00B94B26">
      <w:pPr>
        <w:jc w:val="center"/>
        <w:rPr>
          <w:rFonts w:cstheme="minorHAnsi"/>
          <w:vertAlign w:val="superscript"/>
          <w:lang w:val="en-GB"/>
        </w:rPr>
      </w:pPr>
    </w:p>
    <w:p w14:paraId="7A2A416B" w14:textId="77777777" w:rsidR="00B94B26" w:rsidRDefault="00B94B26" w:rsidP="00B94B26">
      <w:pPr>
        <w:rPr>
          <w:rFonts w:cstheme="minorHAnsi"/>
        </w:rPr>
      </w:pPr>
      <w:r w:rsidRPr="004A1ABD">
        <w:rPr>
          <w:rFonts w:cstheme="minorHAnsi"/>
          <w:vertAlign w:val="superscript"/>
        </w:rPr>
        <w:t>1</w:t>
      </w:r>
      <w:r w:rsidRPr="004A1ABD">
        <w:rPr>
          <w:rFonts w:cstheme="minorHAnsi"/>
        </w:rPr>
        <w:t xml:space="preserve">Radiologic Sciences, Faculty of Applied Medical Sciences, King </w:t>
      </w:r>
      <w:proofErr w:type="spellStart"/>
      <w:r w:rsidRPr="004A1ABD">
        <w:rPr>
          <w:rFonts w:cstheme="minorHAnsi"/>
        </w:rPr>
        <w:t>Abdulaziz</w:t>
      </w:r>
      <w:proofErr w:type="spellEnd"/>
      <w:r w:rsidRPr="004A1ABD">
        <w:rPr>
          <w:rFonts w:cstheme="minorHAnsi"/>
        </w:rPr>
        <w:t xml:space="preserve"> University, Jeddah, Saudi Arabia. </w:t>
      </w:r>
    </w:p>
    <w:p w14:paraId="43DEA2C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F173F53"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A277814" w14:textId="77777777" w:rsidR="00B94B26" w:rsidRPr="00B94B26" w:rsidRDefault="00B94B26" w:rsidP="00B94B26">
      <w:pPr>
        <w:autoSpaceDE w:val="0"/>
        <w:autoSpaceDN w:val="0"/>
        <w:adjustRightInd w:val="0"/>
        <w:jc w:val="lowKashida"/>
        <w:rPr>
          <w:rFonts w:asciiTheme="majorBidi" w:eastAsiaTheme="minorHAnsi" w:hAnsiTheme="majorBidi" w:cstheme="majorBidi"/>
          <w:lang w:val="en-GB"/>
        </w:rPr>
      </w:pPr>
      <w:r w:rsidRPr="00B94B26">
        <w:rPr>
          <w:rFonts w:asciiTheme="majorBidi" w:eastAsiaTheme="minorHAnsi" w:hAnsiTheme="majorBidi" w:cstheme="majorBidi"/>
          <w:lang w:val="en-GB"/>
        </w:rPr>
        <w:t xml:space="preserve">Objective: Using cytoarchitectonic mapping, </w:t>
      </w:r>
      <w:proofErr w:type="spellStart"/>
      <w:r w:rsidRPr="00B94B26">
        <w:rPr>
          <w:rFonts w:asciiTheme="majorBidi" w:eastAsiaTheme="minorHAnsi" w:hAnsiTheme="majorBidi" w:cstheme="majorBidi"/>
          <w:lang w:val="en-GB"/>
        </w:rPr>
        <w:t>Broadmann</w:t>
      </w:r>
      <w:proofErr w:type="spellEnd"/>
      <w:r w:rsidRPr="00B94B26">
        <w:rPr>
          <w:rFonts w:asciiTheme="majorBidi" w:eastAsiaTheme="minorHAnsi" w:hAnsiTheme="majorBidi" w:cstheme="majorBidi"/>
          <w:lang w:val="en-GB"/>
        </w:rPr>
        <w:t xml:space="preserve"> area (BA) 4 has been identified to contain two separate subregions: an anterior subregion (BA 4a) and a posterior subregion (BA 4p). Limited research demonstrates that these primary motor control subregions perform different functions depending on tasks. It is crucial to examine the functional connectivity of these subregions bilaterally using resting state functional magnetic resonance imaging (</w:t>
      </w:r>
      <w:proofErr w:type="spellStart"/>
      <w:r w:rsidRPr="00B94B26">
        <w:rPr>
          <w:rFonts w:asciiTheme="majorBidi" w:eastAsiaTheme="minorHAnsi" w:hAnsiTheme="majorBidi" w:cstheme="majorBidi"/>
          <w:lang w:val="en-GB"/>
        </w:rPr>
        <w:t>rsfMRI</w:t>
      </w:r>
      <w:proofErr w:type="spellEnd"/>
      <w:r w:rsidRPr="00B94B26">
        <w:rPr>
          <w:rFonts w:asciiTheme="majorBidi" w:eastAsiaTheme="minorHAnsi" w:hAnsiTheme="majorBidi" w:cstheme="majorBidi"/>
          <w:lang w:val="en-GB"/>
        </w:rPr>
        <w:t>) and to explore the impact of handedness on their functional connectivity within major brain networks.</w:t>
      </w:r>
    </w:p>
    <w:p w14:paraId="2E3BD2DE" w14:textId="77777777" w:rsidR="00B94B26" w:rsidRPr="00B94B26" w:rsidRDefault="00B94B26" w:rsidP="00B94B26">
      <w:pPr>
        <w:autoSpaceDE w:val="0"/>
        <w:autoSpaceDN w:val="0"/>
        <w:adjustRightInd w:val="0"/>
        <w:jc w:val="lowKashida"/>
        <w:rPr>
          <w:rFonts w:asciiTheme="majorBidi" w:eastAsiaTheme="minorHAnsi" w:hAnsiTheme="majorBidi" w:cstheme="majorBidi"/>
          <w:lang w:val="en-GB"/>
        </w:rPr>
      </w:pPr>
      <w:r w:rsidRPr="00B94B26">
        <w:rPr>
          <w:rFonts w:asciiTheme="majorBidi" w:eastAsiaTheme="minorHAnsi" w:hAnsiTheme="majorBidi" w:cstheme="majorBidi"/>
          <w:lang w:val="en-GB"/>
        </w:rPr>
        <w:t xml:space="preserve">Methods: In total, 48 left- and right-handed participants were evaluated using region-to-region-network </w:t>
      </w:r>
      <w:proofErr w:type="spellStart"/>
      <w:r w:rsidRPr="00B94B26">
        <w:rPr>
          <w:rFonts w:asciiTheme="majorBidi" w:eastAsiaTheme="minorHAnsi" w:hAnsiTheme="majorBidi" w:cstheme="majorBidi"/>
          <w:lang w:val="en-GB"/>
        </w:rPr>
        <w:t>rsfMRI</w:t>
      </w:r>
      <w:proofErr w:type="spellEnd"/>
      <w:r w:rsidRPr="00B94B26">
        <w:rPr>
          <w:rFonts w:asciiTheme="majorBidi" w:eastAsiaTheme="minorHAnsi" w:hAnsiTheme="majorBidi" w:cstheme="majorBidi"/>
          <w:lang w:val="en-GB"/>
        </w:rPr>
        <w:t xml:space="preserve"> analysis of BA 4a and BA 4p, targeting eight major functional brain networks. The Cambridge-Buckner dataset, which is a component of the 1,000 Functional Connectomes Project (an open-access platform without any restrictions; see the IRP statement </w:t>
      </w:r>
      <w:hyperlink r:id="rId9" w:history="1">
        <w:r w:rsidRPr="00B94B26">
          <w:rPr>
            <w:rFonts w:asciiTheme="majorBidi" w:eastAsiaTheme="minorHAnsi" w:hAnsiTheme="majorBidi" w:cstheme="majorBidi"/>
            <w:lang w:val="en-GB"/>
          </w:rPr>
          <w:t>http://fcon_1000.projects.nitrc.org</w:t>
        </w:r>
      </w:hyperlink>
      <w:r w:rsidRPr="00B94B26">
        <w:rPr>
          <w:rFonts w:asciiTheme="majorBidi" w:eastAsiaTheme="minorHAnsi" w:hAnsiTheme="majorBidi" w:cstheme="majorBidi"/>
          <w:lang w:val="en-GB"/>
        </w:rPr>
        <w:t>), was used to collect and download the data.</w:t>
      </w:r>
    </w:p>
    <w:p w14:paraId="4815589A" w14:textId="77777777" w:rsidR="00B94B26" w:rsidRPr="00B94B26" w:rsidRDefault="00B94B26" w:rsidP="00B94B26">
      <w:pPr>
        <w:autoSpaceDE w:val="0"/>
        <w:autoSpaceDN w:val="0"/>
        <w:adjustRightInd w:val="0"/>
        <w:jc w:val="lowKashida"/>
        <w:rPr>
          <w:rFonts w:asciiTheme="majorBidi" w:eastAsiaTheme="minorHAnsi" w:hAnsiTheme="majorBidi" w:cstheme="majorBidi"/>
          <w:lang w:val="en-GB"/>
        </w:rPr>
      </w:pPr>
      <w:r w:rsidRPr="00B94B26">
        <w:rPr>
          <w:rFonts w:asciiTheme="majorBidi" w:eastAsiaTheme="minorHAnsi" w:hAnsiTheme="majorBidi" w:cstheme="majorBidi"/>
          <w:lang w:val="en-GB"/>
        </w:rPr>
        <w:t>Results: The findings reveal that BA 4a and BA 4p not only differ in cytoarchitectonic characteristics but also exhibit unique functional connections to specific brain networks. The anterior subregion, BA 4a, displays increased functional integration with distinct networks, particularly in right-handed individuals, while BA 4p, the posterior subregion, demonstrates other functional organizations related to attentional and higher-order complex networks.</w:t>
      </w:r>
    </w:p>
    <w:p w14:paraId="75F4F07F" w14:textId="77777777" w:rsidR="00B94B26" w:rsidRPr="00B94B26" w:rsidRDefault="00B94B26" w:rsidP="00B94B26">
      <w:pPr>
        <w:jc w:val="lowKashida"/>
        <w:rPr>
          <w:rFonts w:asciiTheme="majorBidi" w:eastAsiaTheme="minorHAnsi" w:hAnsiTheme="majorBidi" w:cstheme="majorBidi"/>
          <w:lang w:val="en-GB"/>
        </w:rPr>
      </w:pPr>
      <w:r w:rsidRPr="00B94B26">
        <w:rPr>
          <w:rFonts w:asciiTheme="majorBidi" w:eastAsiaTheme="minorHAnsi" w:hAnsiTheme="majorBidi" w:cstheme="majorBidi"/>
          <w:lang w:val="en-GB"/>
        </w:rPr>
        <w:t xml:space="preserve">Conclusion: The study indicates heterogeneous findings between the two hemispheres of these subregions, especially in right-handed subjects, suggesting enhanced interhemispheric and physiological brain organization. The results support the notion that functional differences exist between the two subregions of the primary motor cortex (M1), which are influenced by cytoarchitectonic properties. These disparities are either hemispheric or </w:t>
      </w:r>
      <w:proofErr w:type="gramStart"/>
      <w:r w:rsidRPr="00B94B26">
        <w:rPr>
          <w:rFonts w:asciiTheme="majorBidi" w:eastAsiaTheme="minorHAnsi" w:hAnsiTheme="majorBidi" w:cstheme="majorBidi"/>
          <w:lang w:val="en-GB"/>
        </w:rPr>
        <w:t>handedness-dependent</w:t>
      </w:r>
      <w:proofErr w:type="gramEnd"/>
      <w:r w:rsidRPr="00B94B26">
        <w:rPr>
          <w:rFonts w:asciiTheme="majorBidi" w:eastAsiaTheme="minorHAnsi" w:hAnsiTheme="majorBidi" w:cstheme="majorBidi"/>
          <w:lang w:val="en-GB"/>
        </w:rPr>
        <w:t xml:space="preserve">. Future research should take these findings into account when </w:t>
      </w:r>
      <w:proofErr w:type="spellStart"/>
      <w:r w:rsidRPr="00B94B26">
        <w:rPr>
          <w:rFonts w:asciiTheme="majorBidi" w:eastAsiaTheme="minorHAnsi" w:hAnsiTheme="majorBidi" w:cstheme="majorBidi"/>
          <w:lang w:val="en-GB"/>
        </w:rPr>
        <w:t>analyzing</w:t>
      </w:r>
      <w:proofErr w:type="spellEnd"/>
      <w:r w:rsidRPr="00B94B26">
        <w:rPr>
          <w:rFonts w:asciiTheme="majorBidi" w:eastAsiaTheme="minorHAnsi" w:hAnsiTheme="majorBidi" w:cstheme="majorBidi"/>
          <w:lang w:val="en-GB"/>
        </w:rPr>
        <w:t xml:space="preserve"> functional connectivity in healthy individuals and those with neurodegenerative </w:t>
      </w:r>
      <w:proofErr w:type="gramStart"/>
      <w:r w:rsidRPr="00B94B26">
        <w:rPr>
          <w:rFonts w:asciiTheme="majorBidi" w:eastAsiaTheme="minorHAnsi" w:hAnsiTheme="majorBidi" w:cstheme="majorBidi"/>
          <w:lang w:val="en-GB"/>
        </w:rPr>
        <w:t>diseases, and</w:t>
      </w:r>
      <w:proofErr w:type="gramEnd"/>
      <w:r w:rsidRPr="00B94B26">
        <w:rPr>
          <w:rFonts w:asciiTheme="majorBidi" w:eastAsiaTheme="minorHAnsi" w:hAnsiTheme="majorBidi" w:cstheme="majorBidi"/>
          <w:lang w:val="en-GB"/>
        </w:rPr>
        <w:t xml:space="preserve"> should consistently account for hemispheric lateralization and handedness covariates.</w:t>
      </w:r>
    </w:p>
    <w:p w14:paraId="3BBF5AA7" w14:textId="58145F33" w:rsidR="00AE3E37" w:rsidRPr="00B94B26" w:rsidRDefault="00A9710C" w:rsidP="00B94B26">
      <w:pPr>
        <w:pStyle w:val="Heading3"/>
        <w:spacing w:before="74"/>
      </w:pPr>
      <w:r>
        <w:rPr>
          <w:b w:val="0"/>
        </w:rPr>
        <w:br w:type="column"/>
      </w:r>
    </w:p>
    <w:p w14:paraId="0141DC60" w14:textId="5CF9476F" w:rsidR="00AE3E37" w:rsidRPr="00B94B26" w:rsidRDefault="005973B9" w:rsidP="00B94B26">
      <w:pPr>
        <w:spacing w:line="204" w:lineRule="exact"/>
        <w:rPr>
          <w:rFonts w:ascii="Arial"/>
          <w:b/>
          <w:sz w:val="20"/>
        </w:rPr>
      </w:pPr>
      <w:r>
        <w:rPr>
          <w:rFonts w:ascii="Arial"/>
          <w:b/>
          <w:color w:val="BF5A14"/>
          <w:sz w:val="20"/>
        </w:rPr>
        <w:br/>
        <w:t>Recent Publications (minimum 5)</w:t>
      </w:r>
    </w:p>
    <w:p w14:paraId="6A03C813" w14:textId="77777777" w:rsidR="00B94B26" w:rsidRDefault="00B94B26" w:rsidP="00B94B26">
      <w:pPr>
        <w:pStyle w:val="BodyText"/>
        <w:spacing w:before="3"/>
        <w:rPr>
          <w:rFonts w:ascii="Minion Pro"/>
          <w:sz w:val="26"/>
        </w:rPr>
      </w:pPr>
    </w:p>
    <w:p w14:paraId="2E1F8347" w14:textId="77777777" w:rsidR="00B94B26" w:rsidRPr="00B94B26" w:rsidRDefault="00B94B26" w:rsidP="00B94B26">
      <w:pPr>
        <w:pStyle w:val="EndNoteBibliography"/>
        <w:ind w:left="720" w:hanging="720"/>
        <w:rPr>
          <w:noProof/>
        </w:rPr>
      </w:pPr>
      <w:r>
        <w:rPr>
          <w:rFonts w:ascii="Minion Pro"/>
          <w:sz w:val="26"/>
        </w:rPr>
        <w:fldChar w:fldCharType="begin"/>
      </w:r>
      <w:r>
        <w:rPr>
          <w:rFonts w:ascii="Minion Pro"/>
          <w:sz w:val="26"/>
        </w:rPr>
        <w:instrText xml:space="preserve"> ADDIN EN.REFLIST </w:instrText>
      </w:r>
      <w:r>
        <w:rPr>
          <w:rFonts w:ascii="Minion Pro"/>
          <w:sz w:val="26"/>
        </w:rPr>
        <w:fldChar w:fldCharType="separate"/>
      </w:r>
      <w:r w:rsidRPr="00B94B26">
        <w:rPr>
          <w:noProof/>
        </w:rPr>
        <w:t>1.</w:t>
      </w:r>
      <w:r w:rsidRPr="00B94B26">
        <w:rPr>
          <w:noProof/>
        </w:rPr>
        <w:tab/>
        <w:t xml:space="preserve">Alahmadi, A., et al. </w:t>
      </w:r>
      <w:r w:rsidRPr="00B94B26">
        <w:rPr>
          <w:i/>
          <w:noProof/>
        </w:rPr>
        <w:t>Differential involvement of cortical and cerebellar areas using dominant and non dominant hands</w:t>
      </w:r>
      <w:r w:rsidRPr="00B94B26">
        <w:rPr>
          <w:noProof/>
        </w:rPr>
        <w:t xml:space="preserve">. in </w:t>
      </w:r>
      <w:r w:rsidRPr="00B94B26">
        <w:rPr>
          <w:i/>
          <w:noProof/>
        </w:rPr>
        <w:t>ISMRM</w:t>
      </w:r>
      <w:r w:rsidRPr="00B94B26">
        <w:rPr>
          <w:noProof/>
        </w:rPr>
        <w:t>. 2014. Italy.</w:t>
      </w:r>
    </w:p>
    <w:p w14:paraId="09FC16BC" w14:textId="77777777" w:rsidR="00B94B26" w:rsidRPr="00B94B26" w:rsidRDefault="00B94B26" w:rsidP="00B94B26">
      <w:pPr>
        <w:pStyle w:val="EndNoteBibliography"/>
        <w:ind w:left="720" w:hanging="720"/>
        <w:rPr>
          <w:noProof/>
        </w:rPr>
      </w:pPr>
      <w:r w:rsidRPr="00B94B26">
        <w:rPr>
          <w:noProof/>
        </w:rPr>
        <w:t>2.</w:t>
      </w:r>
      <w:r w:rsidRPr="00B94B26">
        <w:rPr>
          <w:noProof/>
        </w:rPr>
        <w:tab/>
        <w:t xml:space="preserve">Alahmadi, A.A., </w:t>
      </w:r>
      <w:r w:rsidRPr="00B94B26">
        <w:rPr>
          <w:i/>
          <w:noProof/>
        </w:rPr>
        <w:t>Functional network analysis of the sub-regions of the primary motor cortex during rest.</w:t>
      </w:r>
      <w:r w:rsidRPr="00B94B26">
        <w:rPr>
          <w:noProof/>
        </w:rPr>
        <w:t xml:space="preserve"> NeuroReport, 2020. </w:t>
      </w:r>
      <w:r w:rsidRPr="00B94B26">
        <w:rPr>
          <w:b/>
          <w:noProof/>
        </w:rPr>
        <w:t>31</w:t>
      </w:r>
      <w:r w:rsidRPr="00B94B26">
        <w:rPr>
          <w:noProof/>
        </w:rPr>
        <w:t>(9): p. 691-695.</w:t>
      </w:r>
    </w:p>
    <w:p w14:paraId="2700D8E7" w14:textId="77777777" w:rsidR="00B94B26" w:rsidRPr="00B94B26" w:rsidRDefault="00B94B26" w:rsidP="00B94B26">
      <w:pPr>
        <w:pStyle w:val="EndNoteBibliography"/>
        <w:ind w:left="720" w:hanging="720"/>
        <w:rPr>
          <w:noProof/>
        </w:rPr>
      </w:pPr>
      <w:r w:rsidRPr="00B94B26">
        <w:rPr>
          <w:noProof/>
        </w:rPr>
        <w:t>3.</w:t>
      </w:r>
      <w:r w:rsidRPr="00B94B26">
        <w:rPr>
          <w:noProof/>
        </w:rPr>
        <w:tab/>
        <w:t xml:space="preserve">Alahmadi, A.A., et al., </w:t>
      </w:r>
      <w:r w:rsidRPr="00B94B26">
        <w:rPr>
          <w:i/>
          <w:noProof/>
        </w:rPr>
        <w:t>Blood oxygenation level-dependent response to multiple grip forces in multiple sclerosis: Going beyond the main effect of movement in brodmann area 4a and 4p.</w:t>
      </w:r>
      <w:r w:rsidRPr="00B94B26">
        <w:rPr>
          <w:noProof/>
        </w:rPr>
        <w:t xml:space="preserve"> Frontiers in Cellular Neuroscience, 2021. </w:t>
      </w:r>
      <w:r w:rsidRPr="00B94B26">
        <w:rPr>
          <w:b/>
          <w:noProof/>
        </w:rPr>
        <w:t>15</w:t>
      </w:r>
      <w:r w:rsidRPr="00B94B26">
        <w:rPr>
          <w:noProof/>
        </w:rPr>
        <w:t>: p. 616028.</w:t>
      </w:r>
    </w:p>
    <w:p w14:paraId="668DEF01" w14:textId="77777777" w:rsidR="00B94B26" w:rsidRPr="00B94B26" w:rsidRDefault="00B94B26" w:rsidP="00B94B26">
      <w:pPr>
        <w:pStyle w:val="EndNoteBibliography"/>
        <w:ind w:left="720" w:hanging="720"/>
        <w:rPr>
          <w:noProof/>
        </w:rPr>
      </w:pPr>
      <w:r w:rsidRPr="00B94B26">
        <w:rPr>
          <w:noProof/>
        </w:rPr>
        <w:t>4.</w:t>
      </w:r>
      <w:r w:rsidRPr="00B94B26">
        <w:rPr>
          <w:noProof/>
        </w:rPr>
        <w:tab/>
        <w:t xml:space="preserve">Alahmadi, A.A., </w:t>
      </w:r>
      <w:r w:rsidRPr="00B94B26">
        <w:rPr>
          <w:i/>
          <w:noProof/>
        </w:rPr>
        <w:t>Effects of different smoothing on global and regional resting functional connectivity.</w:t>
      </w:r>
      <w:r w:rsidRPr="00B94B26">
        <w:rPr>
          <w:noProof/>
        </w:rPr>
        <w:t xml:space="preserve"> Neuroradiology, 2021. </w:t>
      </w:r>
      <w:r w:rsidRPr="00B94B26">
        <w:rPr>
          <w:b/>
          <w:noProof/>
        </w:rPr>
        <w:t>63</w:t>
      </w:r>
      <w:r w:rsidRPr="00B94B26">
        <w:rPr>
          <w:noProof/>
        </w:rPr>
        <w:t>: p. 99-109.</w:t>
      </w:r>
    </w:p>
    <w:p w14:paraId="6E16F870" w14:textId="77777777" w:rsidR="00B94B26" w:rsidRPr="00B94B26" w:rsidRDefault="00B94B26" w:rsidP="00B94B26">
      <w:pPr>
        <w:pStyle w:val="EndNoteBibliography"/>
        <w:ind w:left="720" w:hanging="720"/>
        <w:rPr>
          <w:noProof/>
        </w:rPr>
      </w:pPr>
      <w:r w:rsidRPr="00B94B26">
        <w:rPr>
          <w:noProof/>
        </w:rPr>
        <w:t>5.</w:t>
      </w:r>
      <w:r w:rsidRPr="00B94B26">
        <w:rPr>
          <w:noProof/>
        </w:rPr>
        <w:tab/>
        <w:t xml:space="preserve">Alahmadi, A.A., </w:t>
      </w:r>
      <w:r w:rsidRPr="00B94B26">
        <w:rPr>
          <w:i/>
          <w:noProof/>
        </w:rPr>
        <w:t>The Cerebellum’s Orchestra: Understanding the Functional Connectivity of Its Lobes and Deep Nuclei in Coordination and Integration of Brain Networks.</w:t>
      </w:r>
      <w:r w:rsidRPr="00B94B26">
        <w:rPr>
          <w:noProof/>
        </w:rPr>
        <w:t xml:space="preserve"> Tomography, 2023. </w:t>
      </w:r>
      <w:r w:rsidRPr="00B94B26">
        <w:rPr>
          <w:b/>
          <w:noProof/>
        </w:rPr>
        <w:t>9</w:t>
      </w:r>
      <w:r w:rsidRPr="00B94B26">
        <w:rPr>
          <w:noProof/>
        </w:rPr>
        <w:t>(2): p. 883-893.</w:t>
      </w:r>
    </w:p>
    <w:p w14:paraId="0245E34B" w14:textId="77777777" w:rsidR="00B94B26" w:rsidRPr="00B94B26" w:rsidRDefault="00B94B26" w:rsidP="00B94B26">
      <w:pPr>
        <w:pStyle w:val="EndNoteBibliography"/>
        <w:ind w:left="720" w:hanging="720"/>
        <w:rPr>
          <w:noProof/>
        </w:rPr>
      </w:pPr>
      <w:r w:rsidRPr="00B94B26">
        <w:rPr>
          <w:noProof/>
        </w:rPr>
        <w:t>6.</w:t>
      </w:r>
      <w:r w:rsidRPr="00B94B26">
        <w:rPr>
          <w:noProof/>
        </w:rPr>
        <w:tab/>
        <w:t xml:space="preserve">Alahmadi, A.A., </w:t>
      </w:r>
      <w:r w:rsidRPr="00B94B26">
        <w:rPr>
          <w:i/>
          <w:noProof/>
        </w:rPr>
        <w:t>Functional connectivity of sub-cortical brain regions: disparities and similarities.</w:t>
      </w:r>
      <w:r w:rsidRPr="00B94B26">
        <w:rPr>
          <w:noProof/>
        </w:rPr>
        <w:t xml:space="preserve"> NeuroReport, 2023. </w:t>
      </w:r>
      <w:r w:rsidRPr="00B94B26">
        <w:rPr>
          <w:b/>
          <w:noProof/>
        </w:rPr>
        <w:t>34</w:t>
      </w:r>
      <w:r w:rsidRPr="00B94B26">
        <w:rPr>
          <w:noProof/>
        </w:rPr>
        <w:t>(4): p. 214-219.</w:t>
      </w:r>
    </w:p>
    <w:p w14:paraId="5D358A34" w14:textId="4E2D5870" w:rsidR="00B94B26" w:rsidRPr="008756E6" w:rsidRDefault="00B94B26" w:rsidP="00B94B26">
      <w:pPr>
        <w:tabs>
          <w:tab w:val="left" w:pos="384"/>
        </w:tabs>
        <w:ind w:right="117"/>
      </w:pPr>
      <w:r>
        <w:rPr>
          <w:rFonts w:ascii="Minion Pro"/>
          <w:sz w:val="26"/>
        </w:rPr>
        <w:fldChar w:fldCharType="end"/>
      </w:r>
    </w:p>
    <w:p w14:paraId="56AFF01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699A7ED"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FCBF5A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CA0156E" wp14:editId="6462FB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E9CF219" w14:textId="62365925"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790808E" w14:textId="77777777" w:rsidR="00B94B26" w:rsidRPr="00B94B26" w:rsidRDefault="00B94B26" w:rsidP="00B94B26">
      <w:pPr>
        <w:pStyle w:val="BioHeading"/>
        <w:spacing w:line="240" w:lineRule="auto"/>
        <w:jc w:val="lowKashida"/>
        <w:rPr>
          <w:b w:val="0"/>
          <w:caps w:val="0"/>
          <w:sz w:val="10"/>
          <w:szCs w:val="10"/>
        </w:rPr>
      </w:pPr>
      <w:r w:rsidRPr="00B94B26">
        <w:rPr>
          <w:b w:val="0"/>
          <w:caps w:val="0"/>
          <w:sz w:val="10"/>
          <w:szCs w:val="10"/>
        </w:rPr>
        <w:t xml:space="preserve">                    Adnan </w:t>
      </w:r>
      <w:proofErr w:type="spellStart"/>
      <w:r w:rsidRPr="00B94B26">
        <w:rPr>
          <w:b w:val="0"/>
          <w:caps w:val="0"/>
          <w:sz w:val="10"/>
          <w:szCs w:val="10"/>
        </w:rPr>
        <w:t>Alahmadi</w:t>
      </w:r>
      <w:proofErr w:type="spellEnd"/>
      <w:r w:rsidRPr="00B94B26">
        <w:rPr>
          <w:b w:val="0"/>
          <w:caps w:val="0"/>
          <w:sz w:val="10"/>
          <w:szCs w:val="10"/>
        </w:rPr>
        <w:t xml:space="preserve"> is the Chairman of the Diagnostic Radiology Department at King </w:t>
      </w:r>
      <w:proofErr w:type="spellStart"/>
      <w:r w:rsidRPr="00B94B26">
        <w:rPr>
          <w:b w:val="0"/>
          <w:caps w:val="0"/>
          <w:sz w:val="10"/>
          <w:szCs w:val="10"/>
        </w:rPr>
        <w:t>Abdulaaziz</w:t>
      </w:r>
      <w:proofErr w:type="spellEnd"/>
      <w:r w:rsidRPr="00B94B26">
        <w:rPr>
          <w:b w:val="0"/>
          <w:caps w:val="0"/>
          <w:sz w:val="10"/>
          <w:szCs w:val="10"/>
        </w:rPr>
        <w:t xml:space="preserve"> </w:t>
      </w:r>
      <w:proofErr w:type="spellStart"/>
      <w:r w:rsidRPr="00B94B26">
        <w:rPr>
          <w:b w:val="0"/>
          <w:caps w:val="0"/>
          <w:sz w:val="10"/>
          <w:szCs w:val="10"/>
        </w:rPr>
        <w:t>Univeristy</w:t>
      </w:r>
      <w:proofErr w:type="spellEnd"/>
      <w:r w:rsidRPr="00B94B26">
        <w:rPr>
          <w:b w:val="0"/>
          <w:caps w:val="0"/>
          <w:sz w:val="10"/>
          <w:szCs w:val="10"/>
        </w:rPr>
        <w:t xml:space="preserve">. He is an Associate professor of MRI and Neuroscience who graduated from one of the World's leading universities, University College London. He has extensive experience in magnetic resonance imaging (MRI) and neuroscience and has published over 40 papers in highly ranked journals (2 in Nature, and 15 in the Q1 ranking of radiology or imaging). He is also an Honorary Senior Research fellow in the institute of neurology at University College London.  </w:t>
      </w:r>
    </w:p>
    <w:p w14:paraId="1847503D" w14:textId="5DA0B86D" w:rsidR="00AE3E37" w:rsidRPr="00B94B26" w:rsidRDefault="00A9710C" w:rsidP="00B94B26">
      <w:pPr>
        <w:spacing w:before="62"/>
        <w:ind w:left="4217" w:right="4235"/>
        <w:jc w:val="center"/>
        <w:rPr>
          <w:rFonts w:ascii="Arial"/>
          <w:sz w:val="14"/>
        </w:rPr>
      </w:pPr>
      <w:r>
        <w:rPr>
          <w:rFonts w:ascii="Arial"/>
          <w:sz w:val="14"/>
        </w:rPr>
        <w:t xml:space="preserve">Email: </w:t>
      </w:r>
      <w:r w:rsidR="00292ED9">
        <w:rPr>
          <w:noProof/>
          <w:lang w:val="en-IN" w:eastAsia="en-IN"/>
        </w:rPr>
        <mc:AlternateContent>
          <mc:Choice Requires="wps">
            <w:drawing>
              <wp:anchor distT="0" distB="0" distL="0" distR="0" simplePos="0" relativeHeight="1072" behindDoc="0" locked="0" layoutInCell="1" allowOverlap="1" wp14:anchorId="73AAF260" wp14:editId="0021476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94B26">
        <w:rPr>
          <w:rFonts w:ascii="Arial"/>
          <w:sz w:val="14"/>
        </w:rPr>
        <w:t>aaalahmadi@kau.edu.sa</w:t>
      </w:r>
    </w:p>
    <w:p w14:paraId="02DDFFFE" w14:textId="77777777" w:rsidR="00AE3E37" w:rsidRDefault="00AE3E37">
      <w:pPr>
        <w:pStyle w:val="BodyText"/>
        <w:rPr>
          <w:rFonts w:ascii="Arial"/>
          <w:sz w:val="20"/>
        </w:rPr>
      </w:pPr>
    </w:p>
    <w:p w14:paraId="19B25FDC" w14:textId="77777777" w:rsidR="00AE3E37" w:rsidRDefault="00AE3E37">
      <w:pPr>
        <w:pStyle w:val="BodyText"/>
        <w:spacing w:before="7"/>
        <w:rPr>
          <w:rFonts w:ascii="Arial"/>
          <w:sz w:val="29"/>
        </w:rPr>
      </w:pPr>
    </w:p>
    <w:p w14:paraId="6B143152" w14:textId="77777777" w:rsidR="00AE3E37" w:rsidRPr="00B21A57" w:rsidRDefault="00A9710C">
      <w:pPr>
        <w:spacing w:before="39"/>
        <w:ind w:left="100"/>
        <w:rPr>
          <w:rFonts w:ascii="Minion Pro"/>
          <w:b/>
          <w:sz w:val="20"/>
        </w:rPr>
      </w:pPr>
      <w:r w:rsidRPr="00B21A57">
        <w:rPr>
          <w:rFonts w:ascii="Minion Pro"/>
          <w:b/>
          <w:sz w:val="20"/>
        </w:rPr>
        <w:t>Notes/Comments:</w:t>
      </w:r>
    </w:p>
    <w:p w14:paraId="00B502B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DCC6EEB" w14:textId="77777777" w:rsidR="00B94B26" w:rsidRDefault="00B94B26">
      <w:pPr>
        <w:pStyle w:val="BodyText"/>
        <w:spacing w:before="3"/>
        <w:rPr>
          <w:rFonts w:ascii="Minion Pro"/>
          <w:sz w:val="26"/>
        </w:rPr>
      </w:pPr>
    </w:p>
    <w:p w14:paraId="3B34E2FE" w14:textId="682FC59A" w:rsidR="00AE3E37" w:rsidRDefault="00AE3E37" w:rsidP="00B94B2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40E19" w14:textId="77777777" w:rsidR="000B7314" w:rsidRDefault="000B7314">
      <w:r>
        <w:separator/>
      </w:r>
    </w:p>
  </w:endnote>
  <w:endnote w:type="continuationSeparator" w:id="0">
    <w:p w14:paraId="34726FDE" w14:textId="77777777" w:rsidR="000B7314" w:rsidRDefault="000B7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7D6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4274CAD" wp14:editId="52B56C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84A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6A32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274CA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02484A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6A32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4FF1B72" wp14:editId="19CCAD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370C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7B17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F1B7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6F3370C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7B17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C24D262" wp14:editId="0BA7D98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8D6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2EBE2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4D26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B18D6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2EBE2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44A03" w14:textId="77777777" w:rsidR="000B7314" w:rsidRDefault="000B7314">
      <w:r>
        <w:separator/>
      </w:r>
    </w:p>
  </w:footnote>
  <w:footnote w:type="continuationSeparator" w:id="0">
    <w:p w14:paraId="3D240BBD" w14:textId="77777777" w:rsidR="000B7314" w:rsidRDefault="000B7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7474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75B9821" wp14:editId="2FE7DF9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03D3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B982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41503D3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D786C47" wp14:editId="3FDEDF3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D05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EE89D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86C4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4AED05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EE89D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dtaww2frap9fe25rbvvpfjvt5xes02tt09&quot;&gt;My EndNote Library&lt;record-ids&gt;&lt;item&gt;1073&lt;/item&gt;&lt;item&gt;1216&lt;/item&gt;&lt;item&gt;1217&lt;/item&gt;&lt;item&gt;1339&lt;/item&gt;&lt;item&gt;1364&lt;/item&gt;&lt;item&gt;1365&lt;/item&gt;&lt;/record-ids&gt;&lt;/item&gt;&lt;/Libraries&gt;"/>
  </w:docVars>
  <w:rsids>
    <w:rsidRoot w:val="00AE3E37"/>
    <w:rsid w:val="000B7314"/>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94B26"/>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DE756"/>
  <w15:docId w15:val="{61EBC01E-7DFB-CC4E-AAE9-8FEBC48D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B94B26"/>
    <w:pPr>
      <w:jc w:val="center"/>
    </w:pPr>
    <w:rPr>
      <w:sz w:val="18"/>
    </w:rPr>
  </w:style>
  <w:style w:type="character" w:customStyle="1" w:styleId="EndNoteBibliographyTitleChar">
    <w:name w:val="EndNote Bibliography Title Char"/>
    <w:basedOn w:val="DefaultParagraphFont"/>
    <w:link w:val="EndNoteBibliographyTitle"/>
    <w:rsid w:val="00B94B26"/>
    <w:rPr>
      <w:rFonts w:ascii="Tw Cen MT" w:eastAsia="Tw Cen MT" w:hAnsi="Tw Cen MT" w:cs="Tw Cen MT"/>
      <w:sz w:val="18"/>
    </w:rPr>
  </w:style>
  <w:style w:type="paragraph" w:customStyle="1" w:styleId="EndNoteBibliography">
    <w:name w:val="EndNote Bibliography"/>
    <w:basedOn w:val="Normal"/>
    <w:link w:val="EndNoteBibliographyChar"/>
    <w:rsid w:val="00B94B26"/>
    <w:rPr>
      <w:sz w:val="18"/>
    </w:rPr>
  </w:style>
  <w:style w:type="character" w:customStyle="1" w:styleId="EndNoteBibliographyChar">
    <w:name w:val="EndNote Bibliography Char"/>
    <w:basedOn w:val="DefaultParagraphFont"/>
    <w:link w:val="EndNoteBibliography"/>
    <w:rsid w:val="00B94B26"/>
    <w:rPr>
      <w:rFonts w:ascii="Tw Cen MT" w:eastAsia="Tw Cen MT" w:hAnsi="Tw Cen MT" w:cs="Tw Cen MT"/>
      <w:sz w:val="18"/>
    </w:rPr>
  </w:style>
  <w:style w:type="paragraph" w:customStyle="1" w:styleId="BioHeading">
    <w:name w:val="BioHeading"/>
    <w:basedOn w:val="Normal"/>
    <w:rsid w:val="00B94B26"/>
    <w:pPr>
      <w:keepNext/>
      <w:widowControl/>
      <w:spacing w:before="120" w:after="120" w:line="280" w:lineRule="exact"/>
    </w:pPr>
    <w:rPr>
      <w:rFonts w:ascii="Arial Narrow" w:eastAsia="Times New Roman" w:hAnsi="Arial Narrow" w:cs="Times New Roman"/>
      <w:b/>
      <w:caps/>
      <w:sz w:val="2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con_1000.projects.nitrc.or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ADNAN ABDULAZIZ S ALAHMADI</cp:lastModifiedBy>
  <cp:revision>5</cp:revision>
  <dcterms:created xsi:type="dcterms:W3CDTF">2016-08-31T13:10:00Z</dcterms:created>
  <dcterms:modified xsi:type="dcterms:W3CDTF">2023-04-26T06:08:00Z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