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4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Formation doctorale : x BSE      CAE      MIA      PSI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PrChange w:author="CHAIMAA El moubchiri" w:id="0" w:date="2022-08-02T09:52:20Z">
            <w:rPr>
              <w:rFonts w:ascii="Times New Roman" w:cs="Times New Roman" w:eastAsia="Times New Roman" w:hAnsi="Times New Roman"/>
              <w:i w:val="1"/>
              <w:sz w:val="18"/>
              <w:szCs w:val="18"/>
            </w:rPr>
          </w:rPrChange>
        </w:rPr>
        <w:pPrChange w:author="CHAIMAA El moubchiri" w:id="0" w:date="2022-08-02T09:52:20Z">
          <w:pPr>
            <w:spacing w:after="0" w:lineRule="auto"/>
            <w:ind w:firstLine="425"/>
          </w:pPr>
        </w:pPrChange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Literature review/ assessment of vulnerability factors leading to Substance use among school children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firstLine="425"/>
        <w:rPr>
          <w:rFonts w:ascii="Times New Roman" w:cs="Times New Roman" w:eastAsia="Times New Roman" w:hAnsi="Times New Roman"/>
          <w:i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HILALI Abderraouf, CHAHBOUNE Mohamed, EL MOUBCHIRI Chaimaa ,</w:t>
      </w:r>
    </w:p>
    <w:p w:rsidR="00000000" w:rsidDel="00000000" w:rsidP="00000000" w:rsidRDefault="00000000" w:rsidRPr="00000000" w14:paraId="00000004">
      <w:pPr>
        <w:spacing w:after="0" w:lineRule="auto"/>
        <w:ind w:firstLine="425"/>
        <w:jc w:val="center"/>
        <w:rPr>
          <w:rFonts w:ascii="Times New Roman" w:cs="Times New Roman" w:eastAsia="Times New Roman" w:hAnsi="Times New Roman"/>
          <w:i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Laboratoire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18"/>
          <w:szCs w:val="18"/>
          <w:rtl w:val="0"/>
        </w:rPr>
        <w:t xml:space="preserve">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firstLine="425"/>
        <w:jc w:val="center"/>
        <w:rPr>
          <w:rFonts w:ascii="Times New Roman" w:cs="Times New Roman" w:eastAsia="Times New Roman" w:hAnsi="Times New Roman"/>
          <w:i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Université Hassan 1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vertAlign w:val="superscript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-  Settat</w:t>
      </w:r>
    </w:p>
    <w:tbl>
      <w:tblPr>
        <w:tblStyle w:val="Table1"/>
        <w:tblW w:w="611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119"/>
        <w:tblGridChange w:id="0">
          <w:tblGrid>
            <w:gridCol w:w="6119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Résumé / Abstract</w:t>
            </w:r>
          </w:p>
        </w:tc>
      </w:tr>
      <w:tr>
        <w:trPr>
          <w:cantSplit w:val="0"/>
          <w:trHeight w:val="6521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  <w:rtl w:val="0"/>
              </w:rPr>
              <w:t xml:space="preserve">The use or consumption of psychoactive products is a dynamic subject of scientific interest for all nations. </w:t>
            </w:r>
          </w:p>
          <w:p w:rsidR="00000000" w:rsidDel="00000000" w:rsidP="00000000" w:rsidRDefault="00000000" w:rsidRPr="00000000" w14:paraId="00000009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  <w:rtl w:val="0"/>
              </w:rPr>
              <w:t xml:space="preserve">The correlation between the use of PAS and adolescence is a real challenge that requires a multidisciplinary participation in the planning and implementation of prevention actions.</w:t>
            </w:r>
          </w:p>
          <w:p w:rsidR="00000000" w:rsidDel="00000000" w:rsidP="00000000" w:rsidRDefault="00000000" w:rsidRPr="00000000" w14:paraId="0000000B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  <w:rtl w:val="0"/>
              </w:rPr>
              <w:t xml:space="preserve">At the national level, there is already a slight increase in prevalence figures between the MedSPAD 2013 and MedSPAD 2017 surveys for tobacco, alcohol, cannabis and sleeping pills among schoolchildren aged between 15 and 17 years.</w:t>
            </w:r>
          </w:p>
          <w:p w:rsidR="00000000" w:rsidDel="00000000" w:rsidP="00000000" w:rsidRDefault="00000000" w:rsidRPr="00000000" w14:paraId="0000000D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  <w:rtl w:val="0"/>
              </w:rPr>
              <w:t xml:space="preserve">We opted for a systematic bibliographic search using PRISMA STATEMENT; in order to answer our problem; which is interested in the evaluation of vulnerability factors related to the use of psychoactive substances in young school children.</w:t>
            </w:r>
          </w:p>
          <w:p w:rsidR="00000000" w:rsidDel="00000000" w:rsidP="00000000" w:rsidRDefault="00000000" w:rsidRPr="00000000" w14:paraId="0000000F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  <w:rtl w:val="0"/>
              </w:rPr>
              <w:t xml:space="preserve"> The school environment is an effective field to prevent the use and positively impact this transition.</w:t>
            </w:r>
          </w:p>
          <w:p w:rsidR="00000000" w:rsidDel="00000000" w:rsidP="00000000" w:rsidRDefault="00000000" w:rsidRPr="00000000" w14:paraId="00000011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  <w:rtl w:val="0"/>
              </w:rPr>
              <w:t xml:space="preserve">On the socio-economic level, this scourge escapes no one, it is contextual, the disparity exists and coexists in the same context being well off or coming from a low social level, the risk of use is always present.</w:t>
            </w:r>
          </w:p>
          <w:p w:rsidR="00000000" w:rsidDel="00000000" w:rsidP="00000000" w:rsidRDefault="00000000" w:rsidRPr="00000000" w14:paraId="00000013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  <w:rtl w:val="0"/>
              </w:rPr>
              <w:t xml:space="preserve">The integration of the family is paramount to protect young adolescents against the influence of peers, which ranks as an underlying factor that follows a neurobiological process .</w:t>
            </w:r>
          </w:p>
          <w:p w:rsidR="00000000" w:rsidDel="00000000" w:rsidP="00000000" w:rsidRDefault="00000000" w:rsidRPr="00000000" w14:paraId="00000015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20" w:before="20" w:line="26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18"/>
                <w:szCs w:val="18"/>
                <w:highlight w:val="white"/>
                <w:rtl w:val="0"/>
              </w:rPr>
              <w:t xml:space="preserve">The assessment of vulnerability factors is one of the first pillars to reduce the use of PAS  in young school children</w:t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Rule="auto"/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Keywords: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vulnerability, psychoactive substances(PAS) , adolescents, assessment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a"/>
          <w:sz w:val="2"/>
          <w:szCs w:val="2"/>
          <w:highlight w:val="white"/>
        </w:rPr>
        <w:sectPr>
          <w:headerReference r:id="rId6" w:type="default"/>
          <w:pgSz w:h="11901" w:w="8397" w:orient="portrait"/>
          <w:pgMar w:bottom="1134" w:top="1134" w:left="1134" w:right="1134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ind w:firstLine="425"/>
        <w:jc w:val="both"/>
        <w:rPr>
          <w:rFonts w:ascii="Times New Roman" w:cs="Times New Roman" w:eastAsia="Times New Roman" w:hAnsi="Times New Roman"/>
          <w:color w:val="00000a"/>
          <w:sz w:val="2"/>
          <w:szCs w:val="2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type w:val="continuous"/>
      <w:pgSz w:h="11901" w:w="8397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ambria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bottom w:color="000000" w:space="1" w:sz="4" w:val="single"/>
      </w:pBdr>
      <w:tabs>
        <w:tab w:val="center" w:pos="4536"/>
        <w:tab w:val="right" w:pos="9072"/>
      </w:tabs>
      <w:spacing w:after="0" w:line="240" w:lineRule="auto"/>
      <w:jc w:val="center"/>
      <w:rPr>
        <w:i w:val="1"/>
        <w:sz w:val="18"/>
        <w:szCs w:val="18"/>
      </w:rPr>
    </w:pPr>
    <w:r w:rsidDel="00000000" w:rsidR="00000000" w:rsidRPr="00000000">
      <w:rPr>
        <w:i w:val="1"/>
        <w:sz w:val="18"/>
        <w:szCs w:val="18"/>
        <w:rtl w:val="0"/>
      </w:rPr>
      <w:t xml:space="preserve">8</w:t>
    </w:r>
    <w:r w:rsidDel="00000000" w:rsidR="00000000" w:rsidRPr="00000000">
      <w:rPr>
        <w:i w:val="1"/>
        <w:sz w:val="18"/>
        <w:szCs w:val="18"/>
        <w:vertAlign w:val="superscript"/>
        <w:rtl w:val="0"/>
      </w:rPr>
      <w:t xml:space="preserve">ème</w:t>
    </w:r>
    <w:r w:rsidDel="00000000" w:rsidR="00000000" w:rsidRPr="00000000">
      <w:rPr>
        <w:i w:val="1"/>
        <w:sz w:val="18"/>
        <w:szCs w:val="18"/>
        <w:rtl w:val="0"/>
      </w:rPr>
      <w:t xml:space="preserve"> édition de la Journée Doctorant du CEDoc STSM</w:t>
    </w:r>
  </w:p>
  <w:p w:rsidR="00000000" w:rsidDel="00000000" w:rsidP="00000000" w:rsidRDefault="00000000" w:rsidRPr="00000000" w14:paraId="0000001B">
    <w:pPr>
      <w:pBdr>
        <w:bottom w:color="000000" w:space="1" w:sz="4" w:val="single"/>
      </w:pBdr>
      <w:tabs>
        <w:tab w:val="center" w:pos="4536"/>
        <w:tab w:val="right" w:pos="9072"/>
      </w:tabs>
      <w:spacing w:after="0" w:line="240" w:lineRule="auto"/>
      <w:jc w:val="center"/>
      <w:rPr>
        <w:i w:val="1"/>
        <w:sz w:val="18"/>
        <w:szCs w:val="18"/>
        <w:vertAlign w:val="superscript"/>
      </w:rPr>
    </w:pPr>
    <w:r w:rsidDel="00000000" w:rsidR="00000000" w:rsidRPr="00000000">
      <w:rPr>
        <w:i w:val="1"/>
        <w:sz w:val="18"/>
        <w:szCs w:val="18"/>
        <w:rtl w:val="0"/>
      </w:rPr>
      <w:t xml:space="preserve">Université Hassan 1</w:t>
    </w:r>
    <w:r w:rsidDel="00000000" w:rsidR="00000000" w:rsidRPr="00000000">
      <w:rPr>
        <w:i w:val="1"/>
        <w:sz w:val="18"/>
        <w:szCs w:val="18"/>
        <w:vertAlign w:val="superscript"/>
        <w:rtl w:val="0"/>
      </w:rPr>
      <w:t xml:space="preserve">er</w:t>
    </w:r>
    <w:r w:rsidDel="00000000" w:rsidR="00000000" w:rsidRPr="00000000">
      <w:rPr>
        <w:i w:val="1"/>
        <w:sz w:val="18"/>
        <w:szCs w:val="18"/>
        <w:rtl w:val="0"/>
      </w:rPr>
      <w:t xml:space="preserve">, FST Settat, 08 juillet 2021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bottom w:color="000000" w:space="1" w:sz="4" w:val="single"/>
      </w:pBdr>
      <w:tabs>
        <w:tab w:val="center" w:pos="4536"/>
        <w:tab w:val="right" w:pos="9072"/>
      </w:tabs>
      <w:spacing w:after="0" w:line="240" w:lineRule="auto"/>
      <w:jc w:val="left"/>
      <w:rPr>
        <w:sz w:val="18"/>
        <w:szCs w:val="18"/>
        <w:vertAlign w:val="superscript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fr-M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60" w:before="60" w:line="240" w:lineRule="auto"/>
      <w:jc w:val="center"/>
    </w:pPr>
    <w:rPr>
      <w:rFonts w:ascii="Times New Roman" w:cs="Times New Roman" w:eastAsia="Times New Roman" w:hAnsi="Times New Roman"/>
      <w:b w:val="1"/>
      <w:sz w:val="18"/>
      <w:szCs w:val="1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mbria" w:cs="Cambria" w:eastAsia="Cambria" w:hAnsi="Cambria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