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rFonts w:ascii="Arial"/>
        </w:rPr>
      </w:pPr>
      <w:r>
        <w:rPr>
          <w:rFonts w:hint="default"/>
          <w:color w:val="337AB7"/>
          <w:rtl w:val="0"/>
        </w:rPr>
        <w:t>Altered states of consciousness in gambling and internet gaming disorders as a risk factor for addiction, negative psychosocial consequences, and comorbid psychopathology</w:t>
      </w:r>
    </w:p>
    <w:p>
      <w:pPr>
        <w:ind w:firstLine="90" w:firstLineChars="50"/>
        <w:rPr>
          <w:rFonts w:hint="default" w:ascii="Arial"/>
          <w:sz w:val="18"/>
          <w:szCs w:val="18"/>
          <w:lang w:val="ru-RU"/>
        </w:rPr>
      </w:pPr>
      <w:r>
        <w:rPr>
          <w:rFonts w:ascii="Arial"/>
          <w:sz w:val="18"/>
          <w:szCs w:val="18"/>
          <w:lang w:val="en-US"/>
        </w:rPr>
        <w:t>Tetiana Zinchenko</w:t>
      </w:r>
      <w:r>
        <w:rPr>
          <w:rFonts w:hint="default" w:ascii="Arial"/>
          <w:sz w:val="18"/>
          <w:szCs w:val="18"/>
          <w:lang w:val="ru-RU"/>
        </w:rPr>
        <w:t xml:space="preserve">, </w:t>
      </w:r>
    </w:p>
    <w:p>
      <w:pPr>
        <w:ind w:firstLine="90" w:firstLineChars="50"/>
        <w:rPr>
          <w:rFonts w:ascii="Arial"/>
          <w:sz w:val="18"/>
          <w:szCs w:val="18"/>
          <w:lang w:val="en-US"/>
        </w:rPr>
      </w:pPr>
      <w:r>
        <w:rPr>
          <w:rFonts w:ascii="Arial"/>
          <w:sz w:val="18"/>
          <w:szCs w:val="18"/>
          <w:lang w:val="en-US"/>
        </w:rPr>
        <w:t xml:space="preserve">International </w:t>
      </w:r>
      <w:r>
        <w:rPr>
          <w:rFonts w:hint="default" w:ascii="Arial"/>
          <w:sz w:val="18"/>
          <w:szCs w:val="18"/>
          <w:lang w:val="en-US"/>
        </w:rPr>
        <w:t>A</w:t>
      </w:r>
      <w:r>
        <w:rPr>
          <w:rFonts w:ascii="Arial"/>
          <w:sz w:val="18"/>
          <w:szCs w:val="18"/>
          <w:lang w:val="en-US"/>
        </w:rPr>
        <w:t xml:space="preserve">ssociation for the </w:t>
      </w:r>
      <w:r>
        <w:rPr>
          <w:rFonts w:hint="default" w:ascii="Arial"/>
          <w:sz w:val="18"/>
          <w:szCs w:val="18"/>
          <w:lang w:val="en-US"/>
        </w:rPr>
        <w:t>S</w:t>
      </w:r>
      <w:r>
        <w:rPr>
          <w:rFonts w:ascii="Arial"/>
          <w:sz w:val="18"/>
          <w:szCs w:val="18"/>
          <w:lang w:val="en-US"/>
        </w:rPr>
        <w:t xml:space="preserve">tudy of </w:t>
      </w:r>
      <w:r>
        <w:rPr>
          <w:rFonts w:hint="default" w:ascii="Arial"/>
          <w:sz w:val="18"/>
          <w:szCs w:val="18"/>
          <w:lang w:val="en-US"/>
        </w:rPr>
        <w:t>G</w:t>
      </w:r>
      <w:r>
        <w:rPr>
          <w:rFonts w:ascii="Arial"/>
          <w:sz w:val="18"/>
          <w:szCs w:val="18"/>
          <w:lang w:val="en-US"/>
        </w:rPr>
        <w:t xml:space="preserve">ame </w:t>
      </w:r>
      <w:r>
        <w:rPr>
          <w:rFonts w:hint="default" w:ascii="Arial"/>
          <w:sz w:val="18"/>
          <w:szCs w:val="18"/>
          <w:lang w:val="en-US"/>
        </w:rPr>
        <w:t>A</w:t>
      </w:r>
      <w:r>
        <w:rPr>
          <w:rFonts w:ascii="Arial"/>
          <w:sz w:val="18"/>
          <w:szCs w:val="18"/>
          <w:lang w:val="en-US"/>
        </w:rPr>
        <w:t>ddictions (IASGA),</w:t>
      </w:r>
      <w:r>
        <w:rPr>
          <w:rFonts w:hint="default" w:ascii="Arial"/>
          <w:sz w:val="18"/>
          <w:szCs w:val="18"/>
          <w:lang w:val="en-US"/>
        </w:rPr>
        <w:t xml:space="preserve"> </w:t>
      </w:r>
      <w:r>
        <w:rPr>
          <w:rFonts w:ascii="Arial"/>
          <w:sz w:val="18"/>
          <w:szCs w:val="18"/>
          <w:lang w:val="en-US"/>
        </w:rPr>
        <w:t>Collombey, Switzerland</w:t>
      </w:r>
    </w:p>
    <w:p>
      <w:pPr>
        <w:ind w:firstLine="90" w:firstLineChars="50"/>
        <w:rPr>
          <w:rFonts w:ascii="Arial"/>
          <w:sz w:val="18"/>
          <w:szCs w:val="18"/>
          <w:lang w:val="en-US"/>
        </w:rPr>
      </w:pPr>
    </w:p>
    <w:p>
      <w:pPr>
        <w:rPr>
          <w:rFonts w:ascii="Arial"/>
          <w:sz w:val="21"/>
        </w:rPr>
        <w:sectPr>
          <w:headerReference r:id="rId3" w:type="default"/>
          <w:footerReference r:id="rId4" w:type="default"/>
          <w:pgSz w:w="11910" w:h="16840"/>
          <w:pgMar w:top="1740" w:right="600" w:bottom="840" w:left="620" w:header="541" w:footer="642" w:gutter="0"/>
          <w:cols w:space="720" w:num="1"/>
        </w:sectPr>
      </w:pPr>
    </w:p>
    <w:p>
      <w:pPr>
        <w:pStyle w:val="3"/>
        <w:spacing w:before="147"/>
        <w:jc w:val="both"/>
      </w:pPr>
      <w:r>
        <w:rPr>
          <w:color w:val="BF5A14"/>
        </w:rPr>
        <w:t xml:space="preserve">Abstract </w:t>
      </w:r>
    </w:p>
    <w:p>
      <w:pPr>
        <w:pStyle w:val="7"/>
        <w:spacing w:before="90" w:line="280" w:lineRule="auto"/>
        <w:ind w:left="100"/>
        <w:jc w:val="both"/>
        <w:rPr>
          <w:rFonts w:hint="default"/>
          <w:lang w:val="en-US"/>
        </w:rPr>
      </w:pPr>
      <w:r>
        <w:rPr>
          <w:rFonts w:hint="default"/>
          <w:lang w:val="en-US"/>
        </w:rPr>
        <w:t>In GD and IGD, both at the preclinical level of the problem game and the clinical level of the pathological game, altered states of consciousness are observed during the game and shortly before. In the scientific literature, they are called flow-state, dark flow, game trance, game intoxication, and so on. During these states, the person loses touch with reality, the real-life situation is completely detached from life's problems and concerns, and associated emotional experiences and is transformed into the space of the game. Self-identification is disrupted, as a result of which the player identifies with the game character, the avatar-hero of the game, or with the network character. In addition, the perception of time and memory of events during the game is disrupted. These states themselves become very desirable and attractive to players and contribute to the emergence of a pathological desire to</w:t>
      </w:r>
      <w:r>
        <w:rPr>
          <w:rFonts w:hint="default"/>
          <w:lang w:val="ru-RU"/>
        </w:rPr>
        <w:t xml:space="preserve"> </w:t>
      </w:r>
      <w:r>
        <w:rPr>
          <w:rFonts w:hint="default"/>
          <w:lang w:val="en-US"/>
        </w:rPr>
        <w:t xml:space="preserve">constantly participate in the game to repeat an unusual experience. </w:t>
      </w:r>
    </w:p>
    <w:p>
      <w:pPr>
        <w:pStyle w:val="7"/>
        <w:spacing w:before="90" w:line="280" w:lineRule="auto"/>
        <w:ind w:left="100"/>
        <w:jc w:val="both"/>
        <w:rPr>
          <w:rFonts w:hint="default"/>
          <w:lang w:val="en-US"/>
        </w:rPr>
      </w:pPr>
      <w:r>
        <w:rPr>
          <w:rFonts w:hint="default"/>
          <w:lang w:val="en-US"/>
        </w:rPr>
        <w:t xml:space="preserve">The objective of the study was to determine the effect of altered states of consciousness (dark flow), which are observed in the clinical picture of patients with both GD and IGD, on the occurrence of addiction and comorbid psychopathology. </w:t>
      </w:r>
    </w:p>
    <w:p>
      <w:pPr>
        <w:pStyle w:val="7"/>
        <w:spacing w:before="90" w:line="280" w:lineRule="auto"/>
        <w:ind w:left="100"/>
        <w:jc w:val="both"/>
        <w:rPr>
          <w:rFonts w:hint="default"/>
          <w:lang w:val="en-US"/>
        </w:rPr>
      </w:pPr>
      <w:r>
        <w:rPr>
          <w:rFonts w:hint="default"/>
          <w:lang w:val="en-US"/>
        </w:rPr>
        <w:t>Methods</w:t>
      </w:r>
      <w:r>
        <w:rPr>
          <w:rFonts w:hint="default"/>
          <w:lang w:val="ru-RU"/>
        </w:rPr>
        <w:t xml:space="preserve">. </w:t>
      </w:r>
      <w:r>
        <w:rPr>
          <w:rFonts w:hint="default"/>
          <w:lang w:val="en-US"/>
        </w:rPr>
        <w:t xml:space="preserve">We selected and analyzed 21 studies for our review. Eleven studies have investigated changes in self-perception, self-identity, and perception of the surrounding reality in IGD. Ten were neurocognitive and based on fMRI neuroimaging techniques, and one was a systematic review of 18 differently designed studies of changes in self-perception and self-identity in IGD. Ten other studies based on test questionnaires were designed to determine the relationship between the severity of altered states of consciousness (ASC) and the severity of addiction and comorbid psychopathology in GD. In addition, we took into account clinical observational data based on self-reports from patients with GD and IGD. </w:t>
      </w:r>
    </w:p>
    <w:p>
      <w:pPr>
        <w:pStyle w:val="7"/>
        <w:spacing w:before="90" w:line="280" w:lineRule="auto"/>
        <w:ind w:left="100"/>
        <w:jc w:val="both"/>
        <w:rPr>
          <w:color w:val="BF5A14"/>
        </w:rPr>
      </w:pPr>
      <w:r>
        <w:rPr>
          <w:lang w:val="en-US"/>
        </w:rPr>
        <w:t>Conclusions</w:t>
      </w:r>
      <w:r>
        <w:rPr>
          <w:rFonts w:hint="default"/>
          <w:lang w:val="ru-RU"/>
        </w:rPr>
        <w:t xml:space="preserve">. </w:t>
      </w:r>
      <w:r>
        <w:rPr>
          <w:rFonts w:hint="default"/>
          <w:lang w:val="en-US"/>
        </w:rPr>
        <w:t>As a result of our clinical observations and a review of scientific research have concluded that altered states of consciousness during gambling and internet video games contribute to addiction, negative psychosocial consequences, and comorbid psychopathology. The game industry induces such states by using specific of various psycho-technical methods.</w:t>
      </w:r>
    </w:p>
    <w:p>
      <w:pPr>
        <w:spacing w:line="204" w:lineRule="exact"/>
        <w:rPr>
          <w:rFonts w:ascii="Arial"/>
          <w:b/>
          <w:sz w:val="20"/>
        </w:rPr>
      </w:pPr>
      <w:r>
        <w:rPr>
          <w:rFonts w:ascii="Arial"/>
          <w:b/>
          <w:color w:val="BF5A14"/>
          <w:sz w:val="20"/>
        </w:rPr>
        <w:br w:type="textWrapping"/>
      </w:r>
      <w:r>
        <w:rPr>
          <w:rFonts w:ascii="Arial"/>
          <w:b/>
          <w:color w:val="BF5A14"/>
          <w:sz w:val="20"/>
        </w:rPr>
        <w:t xml:space="preserve">Recent Publications </w:t>
      </w:r>
    </w:p>
    <w:p>
      <w:pPr>
        <w:tabs>
          <w:tab w:val="left" w:pos="384"/>
        </w:tabs>
        <w:ind w:right="117"/>
        <w:rPr>
          <w:rFonts w:hint="default" w:ascii="Calibri" w:hAnsi="Calibri" w:eastAsia="Calibri" w:cs="Calibri"/>
          <w:b/>
          <w:bCs/>
          <w:sz w:val="18"/>
          <w:lang w:val="en-GB"/>
        </w:rPr>
      </w:pPr>
      <w:r>
        <w:rPr>
          <w:rFonts w:hint="default" w:ascii="Calibri" w:hAnsi="Calibri" w:eastAsia="Calibri" w:cs="Calibri"/>
          <w:b/>
          <w:bCs/>
          <w:sz w:val="18"/>
          <w:rtl w:val="0"/>
          <w:lang w:val="en-GB"/>
        </w:rPr>
        <w:t>Zinchenko, T.  (2020).</w:t>
      </w:r>
      <w:r>
        <w:rPr>
          <w:rFonts w:hint="default" w:ascii="Calibri" w:hAnsi="Calibri" w:eastAsia="Calibri" w:cs="Calibri"/>
          <w:b w:val="0"/>
          <w:bCs w:val="0"/>
          <w:sz w:val="18"/>
          <w:rtl w:val="0"/>
          <w:lang w:val="en-GB"/>
        </w:rPr>
        <w:t xml:space="preserve"> Clinical and Neurological Features of Gambling Disorders and Internet-Gaming Disorders., Journal of Clinical Review &amp; Case Reports. DOI : </w:t>
      </w:r>
      <w:r>
        <w:rPr>
          <w:rFonts w:hint="default" w:ascii="Calibri" w:hAnsi="Calibri" w:eastAsia="Calibri" w:cs="Calibri"/>
          <w:b w:val="0"/>
          <w:bCs w:val="0"/>
          <w:sz w:val="18"/>
          <w:lang w:val="en-GB"/>
        </w:rPr>
        <w:fldChar w:fldCharType="begin"/>
      </w:r>
      <w:r>
        <w:rPr>
          <w:rFonts w:hint="default" w:ascii="Calibri" w:hAnsi="Calibri" w:eastAsia="Calibri" w:cs="Calibri"/>
          <w:b w:val="0"/>
          <w:bCs w:val="0"/>
          <w:sz w:val="18"/>
          <w:lang w:val="en-GB"/>
        </w:rPr>
        <w:instrText xml:space="preserve"> HYPERLINK "https://doi.org/10.33140/JCRC.05.05.06" \h </w:instrText>
      </w:r>
      <w:r>
        <w:rPr>
          <w:rFonts w:hint="default" w:ascii="Calibri" w:hAnsi="Calibri" w:eastAsia="Calibri" w:cs="Calibri"/>
          <w:b w:val="0"/>
          <w:bCs w:val="0"/>
          <w:sz w:val="18"/>
          <w:lang w:val="en-GB"/>
        </w:rPr>
        <w:fldChar w:fldCharType="separate"/>
      </w:r>
      <w:r>
        <w:rPr>
          <w:rFonts w:hint="default" w:ascii="Calibri" w:hAnsi="Calibri" w:eastAsia="Calibri" w:cs="Calibri"/>
          <w:b w:val="0"/>
          <w:bCs w:val="0"/>
          <w:sz w:val="18"/>
          <w:rtl w:val="0"/>
          <w:lang w:val="en-GB"/>
        </w:rPr>
        <w:t>doi.org/10.33140/JCRC.05.05.06</w:t>
      </w:r>
      <w:r>
        <w:rPr>
          <w:rFonts w:hint="default" w:ascii="Calibri" w:hAnsi="Calibri" w:eastAsia="Calibri" w:cs="Calibri"/>
          <w:b w:val="0"/>
          <w:bCs w:val="0"/>
          <w:sz w:val="18"/>
          <w:rtl w:val="0"/>
          <w:lang w:val="en-GB"/>
        </w:rPr>
        <w:fldChar w:fldCharType="end"/>
      </w:r>
    </w:p>
    <w:p>
      <w:pPr>
        <w:tabs>
          <w:tab w:val="left" w:pos="384"/>
        </w:tabs>
        <w:ind w:right="117"/>
        <w:rPr>
          <w:rFonts w:ascii="Calibri" w:hAnsi="Calibri" w:eastAsia="Calibri" w:cs="Calibri"/>
          <w:sz w:val="18"/>
          <w:lang w:val="en-GB"/>
        </w:rPr>
      </w:pPr>
    </w:p>
    <w:p>
      <w:pPr>
        <w:tabs>
          <w:tab w:val="left" w:pos="384"/>
        </w:tabs>
        <w:ind w:right="117"/>
        <w:rPr>
          <w:rFonts w:hint="default" w:ascii="Calibri" w:hAnsi="Calibri" w:eastAsia="Calibri" w:cs="Calibri"/>
          <w:b w:val="0"/>
          <w:bCs w:val="0"/>
          <w:sz w:val="18"/>
          <w:rtl w:val="0"/>
          <w:lang w:val="en-GB"/>
        </w:rPr>
      </w:pPr>
      <w:r>
        <w:rPr>
          <w:rFonts w:hint="default" w:ascii="Calibri" w:hAnsi="Calibri" w:eastAsia="Calibri" w:cs="Calibri"/>
          <w:b/>
          <w:bCs/>
          <w:sz w:val="18"/>
          <w:rtl w:val="0"/>
          <w:lang w:val="en-GB"/>
        </w:rPr>
        <w:t xml:space="preserve">Zinchenko, T. (2020). </w:t>
      </w:r>
      <w:r>
        <w:rPr>
          <w:rFonts w:hint="default" w:ascii="Calibri" w:hAnsi="Calibri" w:eastAsia="Calibri" w:cs="Calibri"/>
          <w:b w:val="0"/>
          <w:bCs w:val="0"/>
          <w:sz w:val="18"/>
          <w:rtl w:val="0"/>
          <w:lang w:val="en-GB"/>
        </w:rPr>
        <w:t>Interconnection between Gambling Addiction (GD) and Internet Gaming Addiction (IGD) and Comorbid Psychopathology Risk and Time Sequence of the Conditions.</w:t>
      </w:r>
    </w:p>
    <w:p>
      <w:pPr>
        <w:tabs>
          <w:tab w:val="left" w:pos="384"/>
        </w:tabs>
        <w:ind w:right="117"/>
        <w:rPr>
          <w:rFonts w:hint="default" w:ascii="Calibri" w:hAnsi="Calibri" w:eastAsia="Calibri" w:cs="Calibri"/>
          <w:b w:val="0"/>
          <w:bCs w:val="0"/>
          <w:sz w:val="18"/>
          <w:lang w:val="en-GB"/>
        </w:rPr>
      </w:pPr>
      <w:r>
        <w:rPr>
          <w:rFonts w:hint="default" w:ascii="Calibri" w:hAnsi="Calibri" w:eastAsia="Calibri" w:cs="Calibri"/>
          <w:b w:val="0"/>
          <w:bCs w:val="0"/>
          <w:sz w:val="18"/>
          <w:rtl w:val="0"/>
          <w:lang w:val="en-GB"/>
        </w:rPr>
        <w:t xml:space="preserve"> J Psychiatry,  23:473. doi: 10.35248/2378-5756.20.23.473</w:t>
      </w:r>
    </w:p>
    <w:p>
      <w:pPr>
        <w:tabs>
          <w:tab w:val="left" w:pos="384"/>
        </w:tabs>
        <w:ind w:right="117"/>
        <w:rPr>
          <w:rFonts w:ascii="Calibri" w:hAnsi="Calibri" w:eastAsia="Calibri" w:cs="Calibri"/>
          <w:sz w:val="18"/>
          <w:lang w:val="en-GB"/>
        </w:rPr>
      </w:pPr>
    </w:p>
    <w:p>
      <w:pPr>
        <w:tabs>
          <w:tab w:val="left" w:pos="384"/>
        </w:tabs>
        <w:ind w:right="117"/>
        <w:rPr>
          <w:rFonts w:hint="default" w:ascii="Calibri" w:hAnsi="Calibri" w:eastAsia="Calibri" w:cs="Calibri"/>
          <w:b w:val="0"/>
          <w:bCs w:val="0"/>
          <w:sz w:val="18"/>
          <w:rtl w:val="0"/>
          <w:lang w:val="en-GB"/>
        </w:rPr>
      </w:pPr>
      <w:r>
        <w:rPr>
          <w:rFonts w:hint="default" w:ascii="Calibri" w:hAnsi="Calibri" w:eastAsia="Calibri" w:cs="Calibri"/>
          <w:b/>
          <w:bCs/>
          <w:sz w:val="18"/>
          <w:rtl w:val="0"/>
          <w:lang w:val="en-GB"/>
        </w:rPr>
        <w:t xml:space="preserve">Zinchenko T, van der Westhuizen B, Shaheen A.(2021). </w:t>
      </w:r>
      <w:r>
        <w:rPr>
          <w:rFonts w:hint="default" w:ascii="Calibri" w:hAnsi="Calibri" w:eastAsia="Calibri" w:cs="Calibri"/>
          <w:b w:val="0"/>
          <w:bCs w:val="0"/>
          <w:sz w:val="18"/>
          <w:rtl w:val="0"/>
          <w:lang w:val="en-GB"/>
        </w:rPr>
        <w:t xml:space="preserve">Dangerous Information Technology of the Future. What Impact can Artificial Consciousness have on the Consciousness and Subconscious of Individuals and Groups? The Experience of Psychological and Psychiatric Examination of Artificial Consciousness. Journal of Medical - Clinical Research &amp; Reviews, 5(1), 1-24. </w:t>
      </w:r>
    </w:p>
    <w:p>
      <w:pPr>
        <w:tabs>
          <w:tab w:val="left" w:pos="384"/>
        </w:tabs>
        <w:ind w:right="117"/>
        <w:rPr>
          <w:rFonts w:ascii="Calibri" w:hAnsi="Calibri" w:eastAsia="Calibri" w:cs="Calibri"/>
          <w:sz w:val="18"/>
          <w:lang w:val="en-GB"/>
        </w:rPr>
      </w:pPr>
    </w:p>
    <w:p>
      <w:pPr>
        <w:tabs>
          <w:tab w:val="left" w:pos="384"/>
        </w:tabs>
        <w:ind w:right="117"/>
        <w:rPr>
          <w:rFonts w:hint="default" w:ascii="Calibri" w:hAnsi="Calibri" w:eastAsia="Calibri" w:cs="Calibri"/>
          <w:sz w:val="18"/>
          <w:lang w:val="en-GB"/>
        </w:rPr>
      </w:pPr>
      <w:r>
        <w:rPr>
          <w:rFonts w:hint="default" w:ascii="Calibri" w:hAnsi="Calibri" w:eastAsia="Calibri" w:cs="Calibri"/>
          <w:b/>
          <w:bCs/>
          <w:sz w:val="18"/>
          <w:lang w:val="en-GB"/>
        </w:rPr>
        <w:t>Zinchenko, T. (2021)</w:t>
      </w:r>
      <w:r>
        <w:rPr>
          <w:rFonts w:hint="default" w:ascii="Calibri" w:hAnsi="Calibri" w:eastAsia="Calibri" w:cs="Calibri"/>
          <w:b/>
          <w:bCs/>
          <w:sz w:val="18"/>
          <w:lang w:val="en-US"/>
        </w:rPr>
        <w:t>.</w:t>
      </w:r>
      <w:r>
        <w:rPr>
          <w:rFonts w:hint="default" w:ascii="Calibri" w:hAnsi="Calibri" w:eastAsia="Calibri" w:cs="Calibri"/>
          <w:sz w:val="18"/>
          <w:lang w:val="en-GB"/>
        </w:rPr>
        <w:t xml:space="preserve"> Depression and Suicidal Risk in Gambling Disorder (GD) and Internet Gaming Disorder (IGD): Clinical, Neurobiological and Social Preconditions for this Comorbid Psychopathology. J Psychiatry. 24:485.</w:t>
      </w:r>
    </w:p>
    <w:p>
      <w:pPr>
        <w:tabs>
          <w:tab w:val="left" w:pos="384"/>
        </w:tabs>
        <w:ind w:right="117"/>
      </w:pPr>
      <w:r>
        <w:rPr>
          <w:rFonts w:ascii="Calibri" w:hAnsi="Calibri" w:eastAsia="Calibri" w:cs="Calibri"/>
          <w:sz w:val="18"/>
          <w:lang w:val="en-GB"/>
        </w:rPr>
        <w:br w:type="textWrapping"/>
      </w:r>
      <w:r>
        <w:rPr>
          <w:rFonts w:hint="default" w:ascii="Calibri" w:hAnsi="Calibri" w:eastAsia="Calibri" w:cs="Calibri"/>
          <w:b/>
          <w:bCs/>
          <w:sz w:val="18"/>
          <w:rtl w:val="0"/>
          <w:lang w:val="en-GB"/>
        </w:rPr>
        <w:t>Zinchenko, T. &amp; Shatochin, E. (2022).</w:t>
      </w:r>
      <w:r>
        <w:rPr>
          <w:rFonts w:hint="default" w:ascii="Calibri" w:hAnsi="Calibri" w:eastAsia="Calibri" w:cs="Calibri"/>
          <w:sz w:val="18"/>
          <w:rtl w:val="0"/>
          <w:lang w:val="en-GB"/>
        </w:rPr>
        <w:t xml:space="preserve"> </w:t>
      </w:r>
      <w:r>
        <w:rPr>
          <w:rFonts w:hint="default" w:ascii="Calibri" w:hAnsi="Calibri" w:eastAsia="Calibri" w:cs="Calibri"/>
          <w:sz w:val="18"/>
          <w:lang w:val="en-GB"/>
        </w:rPr>
        <w:t xml:space="preserve">Altered states of consciousness in gambling and internet gaming disorders as a risk factor for addiction. In </w:t>
      </w:r>
      <w:r>
        <w:rPr>
          <w:rFonts w:hint="default" w:ascii="Calibri" w:hAnsi="Calibri" w:eastAsia="Calibri" w:cs="Calibri"/>
          <w:sz w:val="18"/>
          <w:rtl w:val="0"/>
          <w:lang w:val="en-GB"/>
        </w:rPr>
        <w:t xml:space="preserve">C. Pracana &amp; M. Wang (Eds.), Psychological Applications and Trends 2022 (pp. 262-266). </w:t>
      </w:r>
      <w:r>
        <w:rPr>
          <w:rFonts w:hint="default" w:ascii="Calibri" w:hAnsi="Calibri" w:eastAsia="Calibri" w:cs="Calibri"/>
          <w:sz w:val="18"/>
          <w:rtl w:val="0"/>
          <w:lang w:val="en-GB" w:eastAsia="zh-CN"/>
        </w:rPr>
        <w:t>Lisbon, Portugal: inScience Press.</w:t>
      </w:r>
      <w:r>
        <w:rPr>
          <w:rFonts w:hint="default" w:ascii="Calibri" w:hAnsi="Calibri" w:eastAsia="Calibri" w:cs="Calibri"/>
          <w:sz w:val="18"/>
          <w:rtl w:val="0"/>
          <w:lang w:val="en-GB"/>
        </w:rPr>
        <w:t xml:space="preserve"> </w:t>
      </w:r>
      <w:r>
        <w:rPr>
          <w:rFonts w:hint="default" w:ascii="Calibri" w:hAnsi="Calibri" w:eastAsia="Calibri" w:cs="Calibri"/>
          <w:sz w:val="18"/>
          <w:rtl w:val="0"/>
          <w:lang w:val="en-GB" w:eastAsia="zh-CN"/>
        </w:rPr>
        <w:t>Retrieved  from: http://inpact-psychologyconference.org/wp-content/uploads/2022/04/InPACT-2022_Proceedings.pdf</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7"/>
        <w:rPr>
          <w:rFonts w:ascii="Calibri"/>
          <w:sz w:val="20"/>
        </w:rPr>
      </w:pPr>
    </w:p>
    <w:p>
      <w:pPr>
        <w:pStyle w:val="7"/>
        <w:spacing w:line="40" w:lineRule="exact"/>
        <w:ind w:left="2202"/>
        <w:rPr>
          <w:rFonts w:ascii="Calibri"/>
          <w:sz w:val="4"/>
        </w:rPr>
      </w:pPr>
      <w:r>
        <mc:AlternateContent>
          <mc:Choice Requires="wpg">
            <w:drawing>
              <wp:inline distT="0" distB="0" distL="114300" distR="114300">
                <wp:extent cx="3975735" cy="25400"/>
                <wp:effectExtent l="0" t="0" r="0" b="5080"/>
                <wp:docPr id="14" name="Группа 14"/>
                <wp:cNvGraphicFramePr/>
                <a:graphic xmlns:a="http://schemas.openxmlformats.org/drawingml/2006/main">
                  <a:graphicData uri="http://schemas.microsoft.com/office/word/2010/wordprocessingGroup">
                    <wpg:wgp>
                      <wpg:cNvGrpSpPr>
                        <a:grpSpLocks noRot="1"/>
                      </wpg:cNvGrpSpPr>
                      <wpg:grpSpPr>
                        <a:xfrm>
                          <a:off x="0" y="0"/>
                          <a:ext cx="3975735" cy="25400"/>
                          <a:chOff x="0" y="0"/>
                          <a:chExt cx="6261" cy="40"/>
                        </a:xfrm>
                        <a:effectLst/>
                      </wpg:grpSpPr>
                      <wps:wsp>
                        <wps:cNvPr id="15" name="Line 5"/>
                        <wps:cNvCnPr/>
                        <wps:spPr bwMode="auto">
                          <a:xfrm>
                            <a:off x="20" y="20"/>
                            <a:ext cx="6221" cy="0"/>
                          </a:xfrm>
                          <a:prstGeom prst="line">
                            <a:avLst/>
                          </a:prstGeom>
                          <a:noFill/>
                          <a:ln w="25400">
                            <a:solidFill>
                              <a:srgbClr val="004080"/>
                            </a:solidFill>
                            <a:round/>
                          </a:ln>
                          <a:effectLst/>
                        </wps:spPr>
                        <wps:bodyPr/>
                      </wps:wsp>
                    </wpg:wgp>
                  </a:graphicData>
                </a:graphic>
              </wp:inline>
            </w:drawing>
          </mc:Choice>
          <mc:Fallback>
            <w:pict>
              <v:group id="_x0000_s1026"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ZJRBh1AAAAAMBAAAPAAAAAAAAAAEAIAAAACIAAABkcnMv&#10;ZG93bnJldi54bWxQSwECFAAUAAAACACHTuJAUPr0I0ACAADiBAAADgAAAAAAAAABACAAAAAjAQAA&#10;ZHJzL2Uyb0RvYy54bWxQSwUGAAAAAAYABgBZAQAA1QUAAAAA&#10;">
                <o:lock v:ext="edit" rotation="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hint="default" w:ascii="Arial"/>
          <w:lang w:val="ru-RU"/>
        </w:rPr>
      </w:pPr>
      <w:r>
        <w:t xml:space="preserve">              </w:t>
      </w:r>
      <w:r>
        <w:drawing>
          <wp:inline distT="0" distB="0" distL="114300" distR="114300">
            <wp:extent cx="598805" cy="614045"/>
            <wp:effectExtent l="0" t="0" r="10795" b="10795"/>
            <wp:docPr id="3" name="Picture 2" descr="изображение_viber_2021-09-18_21-31-4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изображение_viber_2021-09-18_21-31-49-050"/>
                    <pic:cNvPicPr>
                      <a:picLocks noChangeAspect="1"/>
                    </pic:cNvPicPr>
                  </pic:nvPicPr>
                  <pic:blipFill>
                    <a:blip r:embed="rId6"/>
                    <a:srcRect t="9161" b="14153"/>
                    <a:stretch>
                      <a:fillRect/>
                    </a:stretch>
                  </pic:blipFill>
                  <pic:spPr>
                    <a:xfrm>
                      <a:off x="0" y="0"/>
                      <a:ext cx="598805" cy="614045"/>
                    </a:xfrm>
                    <a:prstGeom prst="rect">
                      <a:avLst/>
                    </a:prstGeom>
                  </pic:spPr>
                </pic:pic>
              </a:graphicData>
            </a:graphic>
          </wp:inline>
        </w:drawing>
      </w:r>
      <w:r>
        <w:rPr>
          <w:rFonts w:ascii="Arial"/>
          <w:color w:val="BF5A14"/>
        </w:rPr>
        <w:t>Biography</w:t>
      </w:r>
    </w:p>
    <w:p>
      <w:pPr>
        <w:spacing w:before="41" w:line="154" w:lineRule="exact"/>
        <w:ind w:left="213" w:right="231"/>
        <w:jc w:val="both"/>
        <w:rPr>
          <w:rFonts w:hint="default" w:ascii="Arial"/>
          <w:sz w:val="14"/>
          <w:lang w:eastAsia="ru-RU"/>
        </w:rPr>
      </w:pPr>
      <w:r>
        <w:rPr>
          <w:rFonts w:hint="default" w:ascii="Arial"/>
          <w:sz w:val="14"/>
          <w:lang w:eastAsia="ru-RU"/>
        </w:rPr>
        <w:t xml:space="preserve">Tetiana Zinchenko, the president of the International </w:t>
      </w:r>
      <w:r>
        <w:rPr>
          <w:rFonts w:hint="default" w:ascii="Arial"/>
          <w:sz w:val="14"/>
          <w:lang w:val="en-US" w:eastAsia="ru-RU"/>
        </w:rPr>
        <w:t>A</w:t>
      </w:r>
      <w:r>
        <w:rPr>
          <w:rFonts w:hint="default" w:ascii="Arial"/>
          <w:sz w:val="14"/>
          <w:lang w:eastAsia="ru-RU"/>
        </w:rPr>
        <w:t xml:space="preserve">ssociation for the </w:t>
      </w:r>
      <w:r>
        <w:rPr>
          <w:rFonts w:hint="default" w:ascii="Arial"/>
          <w:sz w:val="14"/>
          <w:lang w:val="en-US" w:eastAsia="ru-RU"/>
        </w:rPr>
        <w:t>S</w:t>
      </w:r>
      <w:r>
        <w:rPr>
          <w:rFonts w:hint="default" w:ascii="Arial"/>
          <w:sz w:val="14"/>
          <w:lang w:eastAsia="ru-RU"/>
        </w:rPr>
        <w:t xml:space="preserve">tudy of </w:t>
      </w:r>
      <w:r>
        <w:rPr>
          <w:rFonts w:hint="default" w:ascii="Arial"/>
          <w:sz w:val="14"/>
          <w:lang w:val="en-US" w:eastAsia="ru-RU"/>
        </w:rPr>
        <w:t>G</w:t>
      </w:r>
      <w:r>
        <w:rPr>
          <w:rFonts w:hint="default" w:ascii="Arial"/>
          <w:sz w:val="14"/>
          <w:lang w:eastAsia="ru-RU"/>
        </w:rPr>
        <w:t xml:space="preserve">ame </w:t>
      </w:r>
      <w:r>
        <w:rPr>
          <w:rFonts w:hint="default" w:ascii="Arial"/>
          <w:sz w:val="14"/>
          <w:lang w:val="en-US" w:eastAsia="ru-RU"/>
        </w:rPr>
        <w:t>A</w:t>
      </w:r>
      <w:r>
        <w:rPr>
          <w:rFonts w:hint="default" w:ascii="Arial"/>
          <w:sz w:val="14"/>
          <w:lang w:eastAsia="ru-RU"/>
        </w:rPr>
        <w:t xml:space="preserve">ddictions (IASGA)/Switzerland, PhD, psychotherapist, psychologist, rehabilitologist, practicing doctor in private practice. Practical experience of 20 years in psychiatry, psychotherapy, psychological counseling. Experience in specialized clinics. Last 10 years in private practice and public organizations. Over the last </w:t>
      </w:r>
      <w:r>
        <w:rPr>
          <w:rFonts w:hint="default" w:ascii="Arial"/>
          <w:sz w:val="14"/>
          <w:lang w:val="en-US" w:eastAsia="ru-RU"/>
        </w:rPr>
        <w:t>7</w:t>
      </w:r>
      <w:r>
        <w:rPr>
          <w:rFonts w:hint="default" w:ascii="Arial"/>
          <w:sz w:val="14"/>
          <w:lang w:eastAsia="ru-RU"/>
        </w:rPr>
        <w:t xml:space="preserve"> years, I have been specializing in group and individual psychotherapy and rehabilitation of people with various behavioral addictions.</w:t>
      </w:r>
    </w:p>
    <w:p>
      <w:pPr>
        <w:spacing w:before="41" w:line="154" w:lineRule="exact"/>
        <w:ind w:left="213" w:right="231"/>
        <w:jc w:val="both"/>
        <w:rPr>
          <w:rFonts w:ascii="Arial"/>
          <w:sz w:val="14"/>
        </w:rPr>
      </w:pPr>
      <w:r>
        <w:rPr>
          <w:rFonts w:ascii="Arial"/>
          <w:sz w:val="14"/>
        </w:rPr>
        <w:t xml:space="preserve"> </w:t>
      </w:r>
      <w:bookmarkStart w:id="0" w:name="_GoBack"/>
      <w:bookmarkEnd w:id="0"/>
    </w:p>
    <w:p>
      <w:pPr>
        <w:spacing w:before="62"/>
        <w:ind w:left="4217" w:right="4235"/>
        <w:jc w:val="center"/>
        <w:rPr>
          <w:rFonts w:hint="default" w:ascii="Arial"/>
          <w:sz w:val="14"/>
          <w:lang w:val="en-US"/>
        </w:rPr>
      </w:pPr>
      <w:r>
        <w:rPr>
          <w:rFonts w:ascii="Arial"/>
          <w:sz w:val="14"/>
        </w:rPr>
        <w:t xml:space="preserve">Email: </w:t>
      </w:r>
      <w:r>
        <w:fldChar w:fldCharType="begin"/>
      </w:r>
      <w:r>
        <w:instrText xml:space="preserve"> HYPERLINK "mailto:drXXXXXXX@xxxmail.com" </w:instrText>
      </w:r>
      <w:r>
        <w:fldChar w:fldCharType="separate"/>
      </w:r>
      <w:r>
        <w:rPr>
          <w:rStyle w:val="6"/>
          <w:rFonts w:hint="default" w:ascii="Arial"/>
          <w:sz w:val="14"/>
          <w:lang w:val="en-US"/>
        </w:rPr>
        <w:t>t</w:t>
      </w:r>
      <w:r>
        <w:rPr>
          <w:rStyle w:val="6"/>
          <w:rFonts w:ascii="Arial"/>
          <w:sz w:val="14"/>
        </w:rPr>
        <w:fldChar w:fldCharType="end"/>
      </w:r>
      <w:r>
        <w:rPr>
          <w:rStyle w:val="6"/>
          <w:rFonts w:hint="default" w:ascii="Arial"/>
          <w:sz w:val="14"/>
          <w:lang w:val="en-US"/>
        </w:rPr>
        <w:t>atjanazinchenko@gmail.com</w:t>
      </w:r>
    </w:p>
    <w:p>
      <w:pPr>
        <w:pStyle w:val="7"/>
        <w:spacing w:before="2"/>
        <w:rPr>
          <w:rFonts w:ascii="Arial"/>
          <w:sz w:val="19"/>
        </w:rPr>
      </w:pPr>
      <w:r>
        <mc:AlternateContent>
          <mc:Choice Requires="wps">
            <w:drawing>
              <wp:anchor distT="0" distB="0" distL="114300" distR="11430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0" t="0" r="0" b="0"/>
                <wp:wrapTopAndBottom/>
                <wp:docPr id="13" name="Прямое соединение 1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a:effectLst/>
                      </wps:spPr>
                      <wps:bodyPr/>
                    </wps:wsp>
                  </a:graphicData>
                </a:graphic>
              </wp:anchor>
            </w:drawing>
          </mc:Choice>
          <mc:Fallback>
            <w:pict>
              <v:line id="_x0000_s1026"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DilAb9YAAAAJAQAADwAAAAAAAAABACAAAAAiAAAAZHJzL2Rvd25yZXYueG1s&#10;UEsBAhQAFAAAAAgAh07iQC8kkRb6AQAAzAMAAA4AAAAAAAAAAQAgAAAAJQEAAGRycy9lMm9Eb2Mu&#10;eG1sUEsFBgAAAAAGAAYAWQEAAJEFAAAAAA==&#10;">
                <v:fill on="f" focussize="0,0"/>
                <v:stroke weight="0.5pt" color="#004080" joinstyle="round"/>
                <v:imagedata o:title=""/>
                <o:lock v:ext="edit" aspectratio="f"/>
                <w10:wrap type="topAndBottom"/>
              </v:line>
            </w:pict>
          </mc:Fallback>
        </mc:AlternateContent>
      </w:r>
    </w:p>
    <w:p>
      <w:pPr>
        <w:pStyle w:val="7"/>
        <w:rPr>
          <w:rFonts w:ascii="Arial"/>
          <w:sz w:val="20"/>
        </w:rPr>
      </w:pPr>
    </w:p>
    <w:p>
      <w:pPr>
        <w:pStyle w:val="7"/>
        <w:rPr>
          <w:rFonts w:ascii="Arial"/>
          <w:sz w:val="20"/>
        </w:rPr>
      </w:pPr>
    </w:p>
    <w:p>
      <w:pPr>
        <w:pStyle w:val="7"/>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7"/>
        <w:spacing w:before="3"/>
        <w:rPr>
          <w:rFonts w:ascii="Minion Pro"/>
          <w:sz w:val="26"/>
        </w:rPr>
      </w:pPr>
    </w:p>
    <w:p/>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w Cen MT">
    <w:altName w:val="Segoe Print"/>
    <w:panose1 w:val="00000000000000000000"/>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Текстовое поле 9"/>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ffectLst/>
                    </wps:spPr>
                    <wps:txbx>
                      <w:txbxContent>
                        <w:p>
                          <w:pPr>
                            <w:spacing w:line="184" w:lineRule="exact"/>
                            <w:ind w:left="20" w:right="-12"/>
                            <w:rPr>
                              <w:rFonts w:ascii="Arial"/>
                              <w:color w:val="FFFFFF"/>
                              <w:sz w:val="16"/>
                            </w:rPr>
                          </w:pPr>
                          <w:r>
                            <w:rPr>
                              <w:rFonts w:ascii="Arial"/>
                              <w:color w:val="FFFFFF"/>
                              <w:sz w:val="16"/>
                            </w:rPr>
                            <w:t>J Pain Relief</w:t>
                          </w:r>
                        </w:p>
                        <w:p>
                          <w:pPr>
                            <w:spacing w:before="8"/>
                            <w:ind w:left="20" w:right="-12"/>
                            <w:rPr>
                              <w:rFonts w:ascii="Arial"/>
                              <w:color w:val="FFFFFF"/>
                              <w:sz w:val="16"/>
                            </w:rPr>
                          </w:pPr>
                          <w:r>
                            <w:rPr>
                              <w:rFonts w:ascii="Arial"/>
                              <w:color w:val="FFFFFF"/>
                              <w:sz w:val="16"/>
                            </w:rPr>
                            <w:t>ISSN: 2167-0846 JPAR an open access journa</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5pt;margin-top:798.8pt;height:19.6pt;width:168.2pt;mso-position-horizontal-relative:page;mso-position-vertical-relative:page;z-index:-251655168;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EAlupNoAAAAMAQAADwAAAAAAAAABACAAAAAiAAAAZHJzL2Rvd25yZXYueG1sUEsBAhQAFAAAAAgA&#10;h07iQBX5RSYjAgAAJQQAAA4AAAAAAAAAAQAgAAAAKQEAAGRycy9lMm9Eb2MueG1sUEsFBgAAAAAG&#10;AAYAWQEAAL4FAAAAAA==&#10;">
              <v:fill on="f" focussize="0,0"/>
              <v:stroke on="f"/>
              <v:imagedata o:title=""/>
              <o:lock v:ext="edit" aspectratio="f"/>
              <v:textbox inset="0mm,0mm,0mm,0mm">
                <w:txbxContent>
                  <w:p>
                    <w:pPr>
                      <w:spacing w:line="184" w:lineRule="exact"/>
                      <w:ind w:left="20" w:right="-12"/>
                      <w:rPr>
                        <w:rFonts w:ascii="Arial"/>
                        <w:color w:val="FFFFFF"/>
                        <w:sz w:val="16"/>
                      </w:rPr>
                    </w:pPr>
                    <w:r>
                      <w:rPr>
                        <w:rFonts w:ascii="Arial"/>
                        <w:color w:val="FFFFFF"/>
                        <w:sz w:val="16"/>
                      </w:rPr>
                      <w:t>J Pain Relief</w:t>
                    </w:r>
                  </w:p>
                  <w:p>
                    <w:pPr>
                      <w:spacing w:before="8"/>
                      <w:ind w:left="20" w:right="-12"/>
                      <w:rPr>
                        <w:rFonts w:ascii="Arial"/>
                        <w:color w:val="FFFFFF"/>
                        <w:sz w:val="16"/>
                      </w:rPr>
                    </w:pPr>
                    <w:r>
                      <w:rPr>
                        <w:rFonts w:ascii="Arial"/>
                        <w:color w:val="FFFFFF"/>
                        <w:sz w:val="16"/>
                      </w:rPr>
                      <w:t>ISSN: 2167-0846 JPAR an open access journa</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Текстовое поле 8"/>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ffectLst/>
                    </wps:spPr>
                    <wps:txbx>
                      <w:txbxContent>
                        <w:p>
                          <w:pPr>
                            <w:spacing w:line="269" w:lineRule="exact"/>
                            <w:jc w:val="center"/>
                            <w:rPr>
                              <w:rFonts w:ascii="Impact"/>
                              <w:color w:val="FFFFFF"/>
                              <w:sz w:val="24"/>
                            </w:rPr>
                          </w:pPr>
                          <w:r>
                            <w:rPr>
                              <w:rFonts w:ascii="Impact"/>
                              <w:color w:val="FFFFFF"/>
                              <w:sz w:val="24"/>
                            </w:rPr>
                            <w:t>Fibromyalgia 2016</w:t>
                          </w:r>
                        </w:p>
                        <w:p>
                          <w:pPr>
                            <w:spacing w:before="29"/>
                            <w:jc w:val="center"/>
                            <w:rPr>
                              <w:rFonts w:ascii="Arial"/>
                              <w:color w:val="FFFFFF"/>
                              <w:sz w:val="16"/>
                            </w:rPr>
                          </w:pPr>
                          <w:r>
                            <w:rPr>
                              <w:rFonts w:ascii="Arial"/>
                              <w:color w:val="FFFFFF"/>
                              <w:sz w:val="16"/>
                            </w:rPr>
                            <w:t>June 15-16, 2016</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4D&#10;WCTaAAAADQEAAA8AAAAAAAAAAQAgAAAAIgAAAGRycy9kb3ducmV2LnhtbFBLAQIUABQAAAAIAIdO&#10;4kCibgK8IQIAACUEAAAOAAAAAAAAAAEAIAAAACkBAABkcnMvZTJvRG9jLnhtbFBLBQYAAAAABgAG&#10;AFkBAAC8BQAAAAA=&#10;">
              <v:fill on="f" focussize="0,0"/>
              <v:stroke on="f"/>
              <v:imagedata o:title=""/>
              <o:lock v:ext="edit" aspectratio="f"/>
              <v:textbox inset="0mm,0mm,0mm,0mm">
                <w:txbxContent>
                  <w:p>
                    <w:pPr>
                      <w:spacing w:line="269" w:lineRule="exact"/>
                      <w:jc w:val="center"/>
                      <w:rPr>
                        <w:rFonts w:ascii="Impact"/>
                        <w:color w:val="FFFFFF"/>
                        <w:sz w:val="24"/>
                      </w:rPr>
                    </w:pPr>
                    <w:r>
                      <w:rPr>
                        <w:rFonts w:ascii="Impact"/>
                        <w:color w:val="FFFFFF"/>
                        <w:sz w:val="24"/>
                      </w:rPr>
                      <w:t>Fibromyalgia 2016</w:t>
                    </w:r>
                  </w:p>
                  <w:p>
                    <w:pPr>
                      <w:spacing w:before="29"/>
                      <w:jc w:val="center"/>
                      <w:rPr>
                        <w:rFonts w:ascii="Arial"/>
                        <w:color w:val="FFFFFF"/>
                        <w:sz w:val="16"/>
                      </w:rPr>
                    </w:pPr>
                    <w:r>
                      <w:rPr>
                        <w:rFonts w:ascii="Arial"/>
                        <w:color w:val="FFFFFF"/>
                        <w:sz w:val="16"/>
                      </w:rPr>
                      <w:t>June 15-16, 2016</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Текстовое поле 7"/>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ffectLst/>
                    </wps:spPr>
                    <wps:txbx>
                      <w:txbxContent>
                        <w:p>
                          <w:pPr>
                            <w:spacing w:line="184" w:lineRule="exact"/>
                            <w:ind w:right="18"/>
                            <w:jc w:val="right"/>
                            <w:rPr>
                              <w:rFonts w:ascii="Arial"/>
                              <w:color w:val="FFFFFF"/>
                              <w:sz w:val="16"/>
                            </w:rPr>
                          </w:pPr>
                          <w:r>
                            <w:rPr>
                              <w:rFonts w:ascii="Arial"/>
                              <w:color w:val="FFFFFF"/>
                              <w:sz w:val="16"/>
                            </w:rPr>
                            <w:t>Volume 5, Issue 3(Suppl)</w:t>
                          </w:r>
                        </w:p>
                        <w:p>
                          <w:pPr>
                            <w:spacing w:before="116"/>
                            <w:ind w:right="18"/>
                            <w:jc w:val="right"/>
                            <w:rPr>
                              <w:rFonts w:ascii="Minion Pro"/>
                              <w:color w:val="FFFFFF"/>
                              <w:sz w:val="16"/>
                            </w:rPr>
                          </w:pPr>
                          <w:r>
                            <w:rPr>
                              <w:rFonts w:ascii="Minion Pro"/>
                              <w:color w:val="FFFFFF"/>
                              <w:sz w:val="16"/>
                            </w:rPr>
                            <w:t>Page 40</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68.9pt;margin-top:798.8pt;height:26.05pt;width:91.4pt;mso-position-horizontal-relative:page;mso-position-vertical-relative:page;z-index:-251653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wbMZ2dsAAAAOAQAADwAAAAAAAAABACAAAAAiAAAAZHJzL2Rvd25yZXYueG1sUEsBAhQAFAAAAAgA&#10;h07iQOQjroIiAgAAJQQAAA4AAAAAAAAAAQAgAAAAKgEAAGRycy9lMm9Eb2MueG1sUEsFBgAAAAAG&#10;AAYAWQEAAL4FAAAAAA==&#10;">
              <v:fill on="f" focussize="0,0"/>
              <v:stroke on="f"/>
              <v:imagedata o:title=""/>
              <o:lock v:ext="edit" aspectratio="f"/>
              <v:textbox inset="0mm,0mm,0mm,0mm">
                <w:txbxContent>
                  <w:p>
                    <w:pPr>
                      <w:spacing w:line="184" w:lineRule="exact"/>
                      <w:ind w:right="18"/>
                      <w:jc w:val="right"/>
                      <w:rPr>
                        <w:rFonts w:ascii="Arial"/>
                        <w:color w:val="FFFFFF"/>
                        <w:sz w:val="16"/>
                      </w:rPr>
                    </w:pPr>
                    <w:r>
                      <w:rPr>
                        <w:rFonts w:ascii="Arial"/>
                        <w:color w:val="FFFFFF"/>
                        <w:sz w:val="16"/>
                      </w:rPr>
                      <w:t>Volume 5, Issue 3(Suppl)</w:t>
                    </w:r>
                  </w:p>
                  <w:p>
                    <w:pPr>
                      <w:spacing w:before="116"/>
                      <w:ind w:right="18"/>
                      <w:jc w:val="right"/>
                      <w:rPr>
                        <w:rFonts w:ascii="Minion Pro"/>
                        <w:color w:val="FFFFFF"/>
                        <w:sz w:val="16"/>
                      </w:rPr>
                    </w:pPr>
                    <w:r>
                      <w:rPr>
                        <w:rFonts w:ascii="Minion Pro"/>
                        <w:color w:val="FFFFFF"/>
                        <w:sz w:val="16"/>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Текстовое поле 11"/>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ffectLst/>
                    </wps:spPr>
                    <wps:txbx>
                      <w:txbxContent>
                        <w:p>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 HYPERLINK "http://dx.doi.org/10.4172/2167-0846.C1.006" \h </w:instrText>
                          </w:r>
                          <w:r>
                            <w:fldChar w:fldCharType="separate"/>
                          </w:r>
                          <w:r>
                            <w:rPr>
                              <w:rFonts w:ascii="Arial"/>
                              <w:color w:val="FFFFFF"/>
                              <w:sz w:val="14"/>
                            </w:rPr>
                            <w:t>http://dx.doi.org/10.4172/2167-0846.C1.006</w:t>
                          </w:r>
                          <w:r>
                            <w:rPr>
                              <w:rFonts w:ascii="Arial"/>
                              <w:color w:val="FFFFFF"/>
                              <w:sz w:val="14"/>
                            </w:rP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16pt;margin-top:26.05pt;height:17.4pt;width:144.3pt;mso-position-horizontal-relative:page;mso-position-vertical-relative:page;z-index:-251657216;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nW&#10;K4jZAAAACgEAAA8AAAAAAAAAAQAgAAAAIgAAAGRycy9kb3ducmV2LnhtbFBLAQIUABQAAAAIAIdO&#10;4kBEuKSNIgIAACcEAAAOAAAAAAAAAAEAIAAAACgBAABkcnMvZTJvRG9jLnhtbFBLBQYAAAAABgAG&#10;AFkBAAC8BQAAAAA=&#10;">
              <v:fill on="f" focussize="0,0"/>
              <v:stroke on="f"/>
              <v:imagedata o:title=""/>
              <o:lock v:ext="edit" aspectratio="f"/>
              <v:textbox inset="0mm,0mm,0mm,0mm">
                <w:txbxContent>
                  <w:p>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 HYPERLINK "http://dx.doi.org/10.4172/2167-0846.C1.006" \h </w:instrText>
                    </w:r>
                    <w:r>
                      <w:fldChar w:fldCharType="separate"/>
                    </w:r>
                    <w:r>
                      <w:rPr>
                        <w:rFonts w:ascii="Arial"/>
                        <w:color w:val="FFFFFF"/>
                        <w:sz w:val="14"/>
                      </w:rPr>
                      <w:t>http://dx.doi.org/10.4172/2167-0846.C1.006</w:t>
                    </w:r>
                    <w:r>
                      <w:rPr>
                        <w:rFonts w:ascii="Arial"/>
                        <w:color w:val="FFFFFF"/>
                        <w:sz w:val="14"/>
                      </w:rP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Текстовое поле 10"/>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ffectLst/>
                    </wps:spPr>
                    <wps:txbx>
                      <w:txbxContent>
                        <w:p>
                          <w:pPr>
                            <w:pStyle w:val="7"/>
                            <w:spacing w:line="187" w:lineRule="exact"/>
                            <w:ind w:left="20" w:right="-10"/>
                            <w:rPr>
                              <w:rFonts w:ascii="Myriad Pro"/>
                              <w:color w:val="FFFFFF"/>
                            </w:rPr>
                          </w:pPr>
                          <w:r>
                            <w:rPr>
                              <w:rFonts w:ascii="Myriad Pro"/>
                              <w:color w:val="FFFFFF"/>
                            </w:rPr>
                            <w:t>International Conference on</w:t>
                          </w:r>
                        </w:p>
                        <w:p>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5pt;margin-top:48.3pt;height:40.1pt;width:515.95pt;mso-position-horizontal-relative:page;mso-position-vertical-relative:page;z-index:-251656192;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wv&#10;QVrYAAAACgEAAA8AAAAAAAAAAQAgAAAAIgAAAGRycy9kb3ducmV2LnhtbFBLAQIUABQAAAAIAIdO&#10;4kA19Gq7IwIAACcEAAAOAAAAAAAAAAEAIAAAACcBAABkcnMvZTJvRG9jLnhtbFBLBQYAAAAABgAG&#10;AFkBAAC8BQAAAAA=&#10;">
              <v:fill on="f" focussize="0,0"/>
              <v:stroke on="f"/>
              <v:imagedata o:title=""/>
              <o:lock v:ext="edit" aspectratio="f"/>
              <v:textbox inset="0mm,0mm,0mm,0mm">
                <w:txbxContent>
                  <w:p>
                    <w:pPr>
                      <w:pStyle w:val="7"/>
                      <w:spacing w:line="187" w:lineRule="exact"/>
                      <w:ind w:left="20" w:right="-10"/>
                      <w:rPr>
                        <w:rFonts w:ascii="Myriad Pro"/>
                        <w:color w:val="FFFFFF"/>
                      </w:rPr>
                    </w:pPr>
                    <w:r>
                      <w:rPr>
                        <w:rFonts w:ascii="Myriad Pro"/>
                        <w:color w:val="FFFFFF"/>
                      </w:rPr>
                      <w:t>International Conference on</w:t>
                    </w:r>
                  </w:p>
                  <w:p>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B417C4"/>
    <w:rsid w:val="17B41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3"/>
    <w:basedOn w:val="1"/>
    <w:next w:val="1"/>
    <w:qFormat/>
    <w:uiPriority w:val="1"/>
    <w:pPr>
      <w:ind w:left="100"/>
      <w:outlineLvl w:val="2"/>
    </w:pPr>
    <w:rPr>
      <w:rFonts w:ascii="Arial" w:hAnsi="Arial" w:eastAsia="Arial" w:cs="Arial"/>
      <w:b/>
      <w:bCs/>
      <w:sz w:val="20"/>
      <w:szCs w:val="20"/>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unhideWhenUsed/>
    <w:qFormat/>
    <w:uiPriority w:val="99"/>
    <w:rPr>
      <w:color w:val="0000FF"/>
      <w:u w:val="single"/>
    </w:rPr>
  </w:style>
  <w:style w:type="paragraph" w:styleId="7">
    <w:name w:val="Body Text"/>
    <w:basedOn w:val="1"/>
    <w:qFormat/>
    <w:uiPriority w:val="1"/>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Office_11.2.0.10200_F1E327BC-269C-435d-A152-05C5408002CA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2022-07-25T21:28:00Z</dcterms:created>
  <dc:creator>tatjanazinchenko</dc:creator>
  <cp:lastModifiedBy>tatjanazinchenko</cp:lastModifiedBy>
  <dcterms:modified xsi:type="dcterms:W3CDTF">2022-07-25T22:13:56Z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1049-11.2.0.10200</vt:lpwstr>
  </property>
</Properties>
</file>