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399A" w:rsidRPr="00C3399A" w:rsidRDefault="00C3399A" w:rsidP="00C3399A">
      <w:pPr>
        <w:spacing w:beforeAutospacing="1" w:after="0" w:afterAutospacing="1" w:line="240" w:lineRule="auto"/>
        <w:outlineLvl w:val="0"/>
        <w:rPr>
          <w:rFonts w:ascii="Times New Roman" w:eastAsia="Times New Roman" w:hAnsi="Times New Roman" w:cs="Times New Roman"/>
          <w:b/>
          <w:bCs/>
          <w:color w:val="505050"/>
          <w:kern w:val="36"/>
          <w:sz w:val="48"/>
          <w:szCs w:val="48"/>
          <w:lang w:eastAsia="en-IN"/>
        </w:rPr>
      </w:pPr>
      <w:bookmarkStart w:id="0" w:name="_GoBack"/>
      <w:bookmarkEnd w:id="0"/>
      <w:r w:rsidRPr="00C3399A">
        <w:rPr>
          <w:rFonts w:ascii="Times New Roman" w:eastAsia="Times New Roman" w:hAnsi="Times New Roman" w:cs="Times New Roman"/>
          <w:b/>
          <w:bCs/>
          <w:color w:val="505050"/>
          <w:kern w:val="36"/>
          <w:sz w:val="48"/>
          <w:szCs w:val="48"/>
          <w:lang w:eastAsia="en-IN"/>
        </w:rPr>
        <w:t>SAT-002 THE DISEASE-SPECIFIC ASSOCIATION OF INCIDENT GLOMERULONEPHRITIS WITH SOCIOECONOMIC STATUS</w:t>
      </w:r>
    </w:p>
    <w:bookmarkStart w:id="1" w:name="bau1"/>
    <w:p w:rsidR="00C3399A" w:rsidRDefault="00C3399A" w:rsidP="00C3399A">
      <w:pPr>
        <w:spacing w:after="120" w:line="240" w:lineRule="auto"/>
        <w:rPr>
          <w:rFonts w:ascii="Arial" w:eastAsia="Times New Roman" w:hAnsi="Arial" w:cs="Arial"/>
          <w:color w:val="2E2E2E"/>
          <w:sz w:val="21"/>
          <w:szCs w:val="21"/>
          <w:lang w:eastAsia="en-IN"/>
        </w:rPr>
      </w:pPr>
      <w:r w:rsidRPr="00C3399A">
        <w:rPr>
          <w:rFonts w:ascii="Arial" w:eastAsia="Times New Roman" w:hAnsi="Arial" w:cs="Arial"/>
          <w:color w:val="2E2E2E"/>
          <w:sz w:val="21"/>
          <w:szCs w:val="21"/>
          <w:lang w:eastAsia="en-IN"/>
        </w:rPr>
        <w:fldChar w:fldCharType="begin"/>
      </w:r>
      <w:r w:rsidRPr="00C3399A">
        <w:rPr>
          <w:rFonts w:ascii="Arial" w:eastAsia="Times New Roman" w:hAnsi="Arial" w:cs="Arial"/>
          <w:color w:val="2E2E2E"/>
          <w:sz w:val="21"/>
          <w:szCs w:val="21"/>
          <w:lang w:eastAsia="en-IN"/>
        </w:rPr>
        <w:instrText xml:space="preserve"> HYPERLINK "https://www.sciencedirect.com/science/article/pii/S2468024919302177" \l "!" </w:instrText>
      </w:r>
      <w:r w:rsidRPr="00C3399A">
        <w:rPr>
          <w:rFonts w:ascii="Arial" w:eastAsia="Times New Roman" w:hAnsi="Arial" w:cs="Arial"/>
          <w:color w:val="2E2E2E"/>
          <w:sz w:val="21"/>
          <w:szCs w:val="21"/>
          <w:lang w:eastAsia="en-IN"/>
        </w:rPr>
        <w:fldChar w:fldCharType="separate"/>
      </w:r>
      <w:r w:rsidRPr="00C3399A">
        <w:rPr>
          <w:rFonts w:ascii="Arial" w:eastAsia="Times New Roman" w:hAnsi="Arial" w:cs="Arial"/>
          <w:color w:val="0C7DBB"/>
          <w:sz w:val="21"/>
          <w:szCs w:val="21"/>
          <w:lang w:eastAsia="en-IN"/>
        </w:rPr>
        <w:t>A.Sahota</w:t>
      </w:r>
      <w:r w:rsidRPr="00C3399A">
        <w:rPr>
          <w:rFonts w:ascii="Arial" w:eastAsia="Times New Roman" w:hAnsi="Arial" w:cs="Arial"/>
          <w:color w:val="0C7DBB"/>
          <w:sz w:val="16"/>
          <w:szCs w:val="16"/>
          <w:vertAlign w:val="superscript"/>
          <w:lang w:eastAsia="en-IN"/>
        </w:rPr>
        <w:t>1</w:t>
      </w:r>
      <w:r w:rsidRPr="00C3399A">
        <w:rPr>
          <w:rFonts w:ascii="Arial" w:eastAsia="Times New Roman" w:hAnsi="Arial" w:cs="Arial"/>
          <w:color w:val="2E2E2E"/>
          <w:sz w:val="21"/>
          <w:szCs w:val="21"/>
          <w:lang w:eastAsia="en-IN"/>
        </w:rPr>
        <w:fldChar w:fldCharType="end"/>
      </w:r>
      <w:bookmarkStart w:id="2" w:name="bau2"/>
      <w:bookmarkEnd w:id="1"/>
      <w:r>
        <w:rPr>
          <w:rFonts w:ascii="Arial" w:eastAsia="Times New Roman" w:hAnsi="Arial" w:cs="Arial"/>
          <w:color w:val="2E2E2E"/>
          <w:sz w:val="21"/>
          <w:szCs w:val="21"/>
          <w:lang w:eastAsia="en-IN"/>
        </w:rPr>
        <w:t xml:space="preserve"> </w:t>
      </w:r>
      <w:hyperlink r:id="rId6" w:anchor="!" w:history="1">
        <w:r w:rsidRPr="00C3399A">
          <w:rPr>
            <w:rFonts w:ascii="Arial" w:eastAsia="Times New Roman" w:hAnsi="Arial" w:cs="Arial"/>
            <w:color w:val="0C7DBB"/>
            <w:sz w:val="21"/>
            <w:szCs w:val="21"/>
            <w:lang w:eastAsia="en-IN"/>
          </w:rPr>
          <w:t>M.Canney</w:t>
        </w:r>
        <w:r w:rsidRPr="00C3399A">
          <w:rPr>
            <w:rFonts w:ascii="Arial" w:eastAsia="Times New Roman" w:hAnsi="Arial" w:cs="Arial"/>
            <w:color w:val="0C7DBB"/>
            <w:sz w:val="16"/>
            <w:szCs w:val="16"/>
            <w:vertAlign w:val="superscript"/>
            <w:lang w:eastAsia="en-IN"/>
          </w:rPr>
          <w:t>23</w:t>
        </w:r>
      </w:hyperlink>
      <w:bookmarkStart w:id="3" w:name="bau3"/>
      <w:bookmarkEnd w:id="2"/>
      <w:r>
        <w:rPr>
          <w:rFonts w:ascii="Arial" w:eastAsia="Times New Roman" w:hAnsi="Arial" w:cs="Arial"/>
          <w:color w:val="2E2E2E"/>
          <w:sz w:val="21"/>
          <w:szCs w:val="21"/>
          <w:lang w:eastAsia="en-IN"/>
        </w:rPr>
        <w:t xml:space="preserve"> </w:t>
      </w:r>
      <w:hyperlink r:id="rId7" w:anchor="!" w:history="1">
        <w:r w:rsidRPr="00C3399A">
          <w:rPr>
            <w:rFonts w:ascii="Arial" w:eastAsia="Times New Roman" w:hAnsi="Arial" w:cs="Arial"/>
            <w:color w:val="0C7DBB"/>
            <w:sz w:val="21"/>
            <w:szCs w:val="21"/>
            <w:lang w:eastAsia="en-IN"/>
          </w:rPr>
          <w:t>D.Induruwage</w:t>
        </w:r>
        <w:r w:rsidRPr="00C3399A">
          <w:rPr>
            <w:rFonts w:ascii="Arial" w:eastAsia="Times New Roman" w:hAnsi="Arial" w:cs="Arial"/>
            <w:color w:val="0C7DBB"/>
            <w:sz w:val="16"/>
            <w:szCs w:val="16"/>
            <w:vertAlign w:val="superscript"/>
            <w:lang w:eastAsia="en-IN"/>
          </w:rPr>
          <w:t>3</w:t>
        </w:r>
      </w:hyperlink>
      <w:bookmarkStart w:id="4" w:name="bau4"/>
      <w:bookmarkEnd w:id="3"/>
      <w:r>
        <w:rPr>
          <w:rFonts w:ascii="Arial" w:eastAsia="Times New Roman" w:hAnsi="Arial" w:cs="Arial"/>
          <w:color w:val="2E2E2E"/>
          <w:sz w:val="21"/>
          <w:szCs w:val="21"/>
          <w:lang w:eastAsia="en-IN"/>
        </w:rPr>
        <w:t xml:space="preserve"> </w:t>
      </w:r>
      <w:hyperlink r:id="rId8" w:anchor="!" w:history="1">
        <w:proofErr w:type="spellStart"/>
        <w:r w:rsidRPr="00C3399A">
          <w:rPr>
            <w:rFonts w:ascii="Arial" w:eastAsia="Times New Roman" w:hAnsi="Arial" w:cs="Arial"/>
            <w:color w:val="FF6C00"/>
            <w:sz w:val="21"/>
            <w:szCs w:val="21"/>
            <w:lang w:eastAsia="en-IN"/>
          </w:rPr>
          <w:t>S.Barbour</w:t>
        </w:r>
        <w:proofErr w:type="spellEnd"/>
        <w:r w:rsidRPr="00C3399A">
          <w:rPr>
            <w:rFonts w:ascii="Arial" w:eastAsia="Times New Roman" w:hAnsi="Arial" w:cs="Arial"/>
            <w:color w:val="FF6C00"/>
            <w:sz w:val="16"/>
            <w:szCs w:val="16"/>
            <w:vertAlign w:val="superscript"/>
            <w:lang w:eastAsia="en-IN"/>
          </w:rPr>
          <w:t>*23</w:t>
        </w:r>
      </w:hyperlink>
      <w:bookmarkEnd w:id="4"/>
    </w:p>
    <w:p w:rsidR="00C3399A" w:rsidRPr="00C3399A" w:rsidRDefault="00C3399A" w:rsidP="00C3399A">
      <w:pPr>
        <w:spacing w:after="0" w:line="240" w:lineRule="auto"/>
        <w:jc w:val="right"/>
        <w:textAlignment w:val="top"/>
        <w:rPr>
          <w:rFonts w:ascii="Arial" w:eastAsia="Times New Roman" w:hAnsi="Arial" w:cs="Arial"/>
          <w:color w:val="737373"/>
          <w:sz w:val="21"/>
          <w:szCs w:val="21"/>
          <w:lang w:eastAsia="en-IN"/>
        </w:rPr>
      </w:pPr>
      <w:r w:rsidRPr="00C3399A">
        <w:rPr>
          <w:rFonts w:ascii="Arial" w:eastAsia="Times New Roman" w:hAnsi="Arial" w:cs="Arial"/>
          <w:color w:val="737373"/>
          <w:sz w:val="16"/>
          <w:szCs w:val="16"/>
          <w:vertAlign w:val="superscript"/>
          <w:lang w:eastAsia="en-IN"/>
        </w:rPr>
        <w:t>1</w:t>
      </w:r>
    </w:p>
    <w:p w:rsidR="00C3399A" w:rsidRPr="00C3399A" w:rsidRDefault="00C3399A" w:rsidP="00C3399A">
      <w:pPr>
        <w:spacing w:after="0" w:line="240" w:lineRule="auto"/>
        <w:textAlignment w:val="top"/>
        <w:rPr>
          <w:rFonts w:ascii="Arial" w:eastAsia="Times New Roman" w:hAnsi="Arial" w:cs="Arial"/>
          <w:color w:val="737373"/>
          <w:sz w:val="21"/>
          <w:szCs w:val="21"/>
          <w:lang w:eastAsia="en-IN"/>
        </w:rPr>
      </w:pPr>
      <w:r w:rsidRPr="00C3399A">
        <w:rPr>
          <w:rFonts w:ascii="Arial" w:eastAsia="Times New Roman" w:hAnsi="Arial" w:cs="Arial"/>
          <w:color w:val="737373"/>
          <w:sz w:val="21"/>
          <w:szCs w:val="21"/>
          <w:lang w:eastAsia="en-IN"/>
        </w:rPr>
        <w:t>University of British Columbia, Department of Medicine, Vancouver, Canada</w:t>
      </w:r>
    </w:p>
    <w:p w:rsidR="00C3399A" w:rsidRPr="00C3399A" w:rsidRDefault="00C3399A" w:rsidP="00C3399A">
      <w:pPr>
        <w:spacing w:after="0" w:line="240" w:lineRule="auto"/>
        <w:jc w:val="right"/>
        <w:textAlignment w:val="top"/>
        <w:rPr>
          <w:rFonts w:ascii="Arial" w:eastAsia="Times New Roman" w:hAnsi="Arial" w:cs="Arial"/>
          <w:color w:val="737373"/>
          <w:sz w:val="21"/>
          <w:szCs w:val="21"/>
          <w:lang w:eastAsia="en-IN"/>
        </w:rPr>
      </w:pPr>
      <w:r w:rsidRPr="00C3399A">
        <w:rPr>
          <w:rFonts w:ascii="Arial" w:eastAsia="Times New Roman" w:hAnsi="Arial" w:cs="Arial"/>
          <w:color w:val="737373"/>
          <w:sz w:val="16"/>
          <w:szCs w:val="16"/>
          <w:vertAlign w:val="superscript"/>
          <w:lang w:eastAsia="en-IN"/>
        </w:rPr>
        <w:t>2</w:t>
      </w:r>
    </w:p>
    <w:p w:rsidR="00C3399A" w:rsidRPr="00C3399A" w:rsidRDefault="00C3399A" w:rsidP="00C3399A">
      <w:pPr>
        <w:spacing w:after="0" w:line="240" w:lineRule="auto"/>
        <w:textAlignment w:val="top"/>
        <w:rPr>
          <w:rFonts w:ascii="Arial" w:eastAsia="Times New Roman" w:hAnsi="Arial" w:cs="Arial"/>
          <w:color w:val="737373"/>
          <w:sz w:val="21"/>
          <w:szCs w:val="21"/>
          <w:lang w:eastAsia="en-IN"/>
        </w:rPr>
      </w:pPr>
      <w:r w:rsidRPr="00C3399A">
        <w:rPr>
          <w:rFonts w:ascii="Arial" w:eastAsia="Times New Roman" w:hAnsi="Arial" w:cs="Arial"/>
          <w:color w:val="737373"/>
          <w:sz w:val="21"/>
          <w:szCs w:val="21"/>
          <w:lang w:eastAsia="en-IN"/>
        </w:rPr>
        <w:t>University of British Columbia, Division of Nephrology, Vancouver, Canada</w:t>
      </w:r>
    </w:p>
    <w:p w:rsidR="00C3399A" w:rsidRPr="00C3399A" w:rsidRDefault="00C3399A" w:rsidP="00C3399A">
      <w:pPr>
        <w:spacing w:after="0" w:line="240" w:lineRule="auto"/>
        <w:jc w:val="right"/>
        <w:textAlignment w:val="top"/>
        <w:rPr>
          <w:rFonts w:ascii="Arial" w:eastAsia="Times New Roman" w:hAnsi="Arial" w:cs="Arial"/>
          <w:color w:val="737373"/>
          <w:sz w:val="21"/>
          <w:szCs w:val="21"/>
          <w:lang w:eastAsia="en-IN"/>
        </w:rPr>
      </w:pPr>
      <w:r w:rsidRPr="00C3399A">
        <w:rPr>
          <w:rFonts w:ascii="Arial" w:eastAsia="Times New Roman" w:hAnsi="Arial" w:cs="Arial"/>
          <w:color w:val="737373"/>
          <w:sz w:val="16"/>
          <w:szCs w:val="16"/>
          <w:vertAlign w:val="superscript"/>
          <w:lang w:eastAsia="en-IN"/>
        </w:rPr>
        <w:t>3</w:t>
      </w:r>
    </w:p>
    <w:p w:rsidR="00C3399A" w:rsidRDefault="00C3399A" w:rsidP="00C3399A">
      <w:pPr>
        <w:spacing w:after="0" w:line="240" w:lineRule="auto"/>
        <w:textAlignment w:val="top"/>
        <w:rPr>
          <w:rFonts w:ascii="Arial" w:eastAsia="Times New Roman" w:hAnsi="Arial" w:cs="Arial"/>
          <w:color w:val="737373"/>
          <w:sz w:val="21"/>
          <w:szCs w:val="21"/>
          <w:lang w:eastAsia="en-IN"/>
        </w:rPr>
      </w:pPr>
      <w:r w:rsidRPr="00C3399A">
        <w:rPr>
          <w:rFonts w:ascii="Arial" w:eastAsia="Times New Roman" w:hAnsi="Arial" w:cs="Arial"/>
          <w:color w:val="737373"/>
          <w:sz w:val="21"/>
          <w:szCs w:val="21"/>
          <w:lang w:eastAsia="en-IN"/>
        </w:rPr>
        <w:t>Provincial Health Services Authority, British Columbia Provincial Renal Agency, Vancouver, Canada</w:t>
      </w:r>
    </w:p>
    <w:p w:rsidR="00C3399A" w:rsidRDefault="00C3399A" w:rsidP="00C3399A">
      <w:pPr>
        <w:spacing w:after="0" w:line="240" w:lineRule="auto"/>
        <w:textAlignment w:val="top"/>
        <w:rPr>
          <w:rFonts w:ascii="Arial" w:eastAsia="Times New Roman" w:hAnsi="Arial" w:cs="Arial"/>
          <w:color w:val="737373"/>
          <w:sz w:val="21"/>
          <w:szCs w:val="21"/>
          <w:lang w:eastAsia="en-IN"/>
        </w:rPr>
      </w:pPr>
    </w:p>
    <w:p w:rsidR="00C3399A" w:rsidRDefault="00C3399A" w:rsidP="00C3399A">
      <w:pPr>
        <w:pStyle w:val="Heading2"/>
        <w:rPr>
          <w:color w:val="505050"/>
        </w:rPr>
      </w:pPr>
      <w:r>
        <w:rPr>
          <w:color w:val="505050"/>
        </w:rPr>
        <w:t>Introduction</w:t>
      </w:r>
    </w:p>
    <w:p w:rsidR="00C3399A" w:rsidRDefault="00C3399A" w:rsidP="00C3399A">
      <w:pPr>
        <w:pStyle w:val="NormalWeb"/>
        <w:spacing w:before="0" w:beforeAutospacing="0" w:after="240" w:afterAutospacing="0"/>
      </w:pPr>
      <w:r>
        <w:t>The population-level incidence and epidemiology of glomerulonephritis (GN) is not well studied. Although the incidence of all-cause chronic kidney disease is associated with lower socioeconomic (SES) status, it is currently not known if this also applies to specific types of GN. We therefore investigated the relationship between SES and the population-level incidence of membranous nephropathy (MN), IgA nephropathy (</w:t>
      </w:r>
      <w:proofErr w:type="spellStart"/>
      <w:r>
        <w:t>IgAN</w:t>
      </w:r>
      <w:proofErr w:type="spellEnd"/>
      <w:r>
        <w:t xml:space="preserve">), focal segmental </w:t>
      </w:r>
      <w:proofErr w:type="spellStart"/>
      <w:r>
        <w:t>glomerulosclerosis</w:t>
      </w:r>
      <w:proofErr w:type="spellEnd"/>
      <w:r>
        <w:t xml:space="preserve"> (FSGS), </w:t>
      </w:r>
      <w:proofErr w:type="gramStart"/>
      <w:r>
        <w:t>ANCA</w:t>
      </w:r>
      <w:proofErr w:type="gramEnd"/>
      <w:r>
        <w:t>-related GN and lupus nephritis (LN) in a large Canadian province.</w:t>
      </w:r>
    </w:p>
    <w:p w:rsidR="00C3399A" w:rsidRDefault="00C3399A" w:rsidP="00C3399A">
      <w:pPr>
        <w:pStyle w:val="Heading2"/>
        <w:rPr>
          <w:color w:val="505050"/>
        </w:rPr>
      </w:pPr>
      <w:r>
        <w:rPr>
          <w:color w:val="505050"/>
        </w:rPr>
        <w:t>Methods</w:t>
      </w:r>
    </w:p>
    <w:p w:rsidR="00C3399A" w:rsidRDefault="00C3399A" w:rsidP="00C3399A">
      <w:pPr>
        <w:pStyle w:val="NormalWeb"/>
        <w:spacing w:before="0" w:beforeAutospacing="0" w:after="240" w:afterAutospacing="0"/>
      </w:pPr>
      <w:r>
        <w:t xml:space="preserve">A provincial renal pathology database was used to capture all incident cases of biopsy-proven MN (N= 392), </w:t>
      </w:r>
      <w:proofErr w:type="spellStart"/>
      <w:r>
        <w:t>IgAN</w:t>
      </w:r>
      <w:proofErr w:type="spellEnd"/>
      <w:r>
        <w:t xml:space="preserve"> (N= 818), FSGS (N= 375), ANCA-GN (N= 387) and LN (N= 389) from 2000 to 2012 in British Columbia, Canada. Secondary causes of GN were excluded. Patient SES was based on postal code level quintiles of household income from the Canadian Census, standardized to regional averages to account for differences in the cost of living. Incident rates were direct standardized based age and sex to the 2006 provincial population. For LN, direct standardization based on age was done separately in men versus women due to the female predominance in disease.</w:t>
      </w:r>
    </w:p>
    <w:p w:rsidR="00C3399A" w:rsidRDefault="00C3399A" w:rsidP="00C3399A">
      <w:pPr>
        <w:pStyle w:val="Heading2"/>
        <w:rPr>
          <w:color w:val="505050"/>
        </w:rPr>
      </w:pPr>
      <w:r>
        <w:rPr>
          <w:color w:val="505050"/>
        </w:rPr>
        <w:t>Results</w:t>
      </w:r>
    </w:p>
    <w:p w:rsidR="00C3399A" w:rsidRDefault="00C3399A" w:rsidP="00C3399A">
      <w:pPr>
        <w:pStyle w:val="NormalWeb"/>
        <w:spacing w:before="0" w:beforeAutospacing="0" w:after="0" w:afterAutospacing="0"/>
        <w:rPr>
          <w:rStyle w:val="display"/>
        </w:rPr>
      </w:pPr>
      <w:r>
        <w:t xml:space="preserve">Patient characteristics at the time of biopsy are shown in Table 1. For each type of GN, there was no significant difference in the age, estimated GFR or proteinuria at biopsy across quintiles of SES (p≥0.1), suggesting similar access to renal biopsy healthcare services. The age and sex standardized incident rates for each GN are shown in Table 2. A significant increase in disease incidence with lower SES was seen in LN and ANCA-GN (both p&lt;0.05), with standardized rate ratios of 1.5-1.7 in the lowest SES quintile. There was no association </w:t>
      </w:r>
      <w:r>
        <w:lastRenderedPageBreak/>
        <w:t xml:space="preserve">between SES and the incidence of FSGS (p=0.09), </w:t>
      </w:r>
      <w:proofErr w:type="spellStart"/>
      <w:r>
        <w:t>IgAN</w:t>
      </w:r>
      <w:proofErr w:type="spellEnd"/>
      <w:r>
        <w:t xml:space="preserve"> (p= 0.09) or MN (p=0.2).</w:t>
      </w:r>
      <w:r>
        <w:rPr>
          <w:noProof/>
          <w:lang w:val="en-US" w:eastAsia="en-US"/>
        </w:rPr>
        <w:drawing>
          <wp:inline distT="0" distB="0" distL="0" distR="0">
            <wp:extent cx="3476625" cy="3321050"/>
            <wp:effectExtent l="0" t="0" r="9525" b="0"/>
            <wp:docPr id="2" name="Picture 2" descr="https://ars.els-cdn.com/content/image/1-s2.0-S2468024919302177-fx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rs.els-cdn.com/content/image/1-s2.0-S2468024919302177-fx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76625" cy="3321050"/>
                    </a:xfrm>
                    <a:prstGeom prst="rect">
                      <a:avLst/>
                    </a:prstGeom>
                    <a:noFill/>
                    <a:ln>
                      <a:noFill/>
                    </a:ln>
                  </pic:spPr>
                </pic:pic>
              </a:graphicData>
            </a:graphic>
          </wp:inline>
        </w:drawing>
      </w:r>
    </w:p>
    <w:p w:rsidR="00C3399A" w:rsidRDefault="00B47B91" w:rsidP="00C3399A">
      <w:pPr>
        <w:numPr>
          <w:ilvl w:val="0"/>
          <w:numId w:val="1"/>
        </w:numPr>
        <w:spacing w:after="0" w:line="240" w:lineRule="auto"/>
        <w:ind w:left="0"/>
      </w:pPr>
      <w:hyperlink r:id="rId10" w:tgtFrame="_blank" w:tooltip="Download high-res image (439KB)" w:history="1">
        <w:r w:rsidR="00C3399A">
          <w:rPr>
            <w:rStyle w:val="anchor-text"/>
            <w:color w:val="007398"/>
          </w:rPr>
          <w:t>Download : </w:t>
        </w:r>
        <w:r w:rsidR="00C3399A">
          <w:rPr>
            <w:rStyle w:val="download-link-title"/>
            <w:color w:val="007398"/>
          </w:rPr>
          <w:t>Download high-res image (439KB)</w:t>
        </w:r>
      </w:hyperlink>
    </w:p>
    <w:p w:rsidR="00C3399A" w:rsidRDefault="00B47B91" w:rsidP="00C3399A">
      <w:pPr>
        <w:numPr>
          <w:ilvl w:val="0"/>
          <w:numId w:val="1"/>
        </w:numPr>
        <w:spacing w:after="0" w:line="240" w:lineRule="auto"/>
        <w:ind w:left="0"/>
      </w:pPr>
      <w:hyperlink r:id="rId11" w:tgtFrame="_blank" w:tooltip="Download full-size image" w:history="1">
        <w:r w:rsidR="00C3399A">
          <w:rPr>
            <w:rStyle w:val="anchor-text"/>
            <w:color w:val="007398"/>
          </w:rPr>
          <w:t>Download : </w:t>
        </w:r>
        <w:r w:rsidR="00C3399A">
          <w:rPr>
            <w:rStyle w:val="download-link-title"/>
            <w:color w:val="007398"/>
          </w:rPr>
          <w:t>Download full-size image</w:t>
        </w:r>
      </w:hyperlink>
    </w:p>
    <w:p w:rsidR="00C3399A" w:rsidRDefault="00C3399A" w:rsidP="00C3399A">
      <w:pPr>
        <w:rPr>
          <w:rStyle w:val="display"/>
        </w:rPr>
      </w:pPr>
      <w:r>
        <w:rPr>
          <w:noProof/>
          <w:lang w:val="en-US"/>
        </w:rPr>
        <w:drawing>
          <wp:inline distT="0" distB="0" distL="0" distR="0" wp14:anchorId="24DF8EFE" wp14:editId="2F7D6298">
            <wp:extent cx="3476625" cy="4727575"/>
            <wp:effectExtent l="0" t="0" r="9525" b="0"/>
            <wp:docPr id="1" name="Picture 1" descr="https://ars.els-cdn.com/content/image/1-s2.0-S2468024919302177-fx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rs.els-cdn.com/content/image/1-s2.0-S2468024919302177-fx2.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76625" cy="4727575"/>
                    </a:xfrm>
                    <a:prstGeom prst="rect">
                      <a:avLst/>
                    </a:prstGeom>
                    <a:noFill/>
                    <a:ln>
                      <a:noFill/>
                    </a:ln>
                  </pic:spPr>
                </pic:pic>
              </a:graphicData>
            </a:graphic>
          </wp:inline>
        </w:drawing>
      </w:r>
    </w:p>
    <w:p w:rsidR="00C3399A" w:rsidRDefault="00C3399A" w:rsidP="00C3399A">
      <w:pPr>
        <w:spacing w:after="0" w:line="240" w:lineRule="auto"/>
      </w:pPr>
    </w:p>
    <w:p w:rsidR="00C3399A" w:rsidRDefault="00C3399A" w:rsidP="00C3399A">
      <w:pPr>
        <w:pStyle w:val="Heading2"/>
        <w:rPr>
          <w:color w:val="505050"/>
        </w:rPr>
      </w:pPr>
      <w:r>
        <w:rPr>
          <w:color w:val="505050"/>
        </w:rPr>
        <w:t>Conclusions</w:t>
      </w:r>
    </w:p>
    <w:p w:rsidR="00C3399A" w:rsidRDefault="00C3399A" w:rsidP="00C3399A">
      <w:pPr>
        <w:pStyle w:val="NormalWeb"/>
        <w:spacing w:before="0" w:beforeAutospacing="0" w:after="240" w:afterAutospacing="0"/>
      </w:pPr>
      <w:r>
        <w:t xml:space="preserve">Using population-level data in a universal healthcare system with similar access to renal biopsy diagnosis, we have demonstrated that lower SES is associated with a 50-70% increase in the incidence of LN and ANCA-GN, but not with the incidence of </w:t>
      </w:r>
      <w:proofErr w:type="spellStart"/>
      <w:r>
        <w:t>IgAN</w:t>
      </w:r>
      <w:proofErr w:type="spellEnd"/>
      <w:r>
        <w:t>, MN or FSGS. This is the first description of the age and sex adjusted incidence of GN associated with SES, and provides previously unknown and novel information regarding the epidemiology of glomerular diseases. Further research is needed to determine if the increased incidence is due to unmeasured confounders such as race or disease-specific environmental exposures that are associated with SES.</w:t>
      </w:r>
    </w:p>
    <w:p w:rsidR="00C3399A" w:rsidRPr="00C3399A" w:rsidRDefault="00C3399A" w:rsidP="00C3399A">
      <w:pPr>
        <w:spacing w:after="0" w:line="240" w:lineRule="auto"/>
        <w:textAlignment w:val="top"/>
        <w:rPr>
          <w:rFonts w:ascii="Arial" w:eastAsia="Times New Roman" w:hAnsi="Arial" w:cs="Arial"/>
          <w:color w:val="737373"/>
          <w:sz w:val="21"/>
          <w:szCs w:val="21"/>
          <w:lang w:eastAsia="en-IN"/>
        </w:rPr>
      </w:pPr>
    </w:p>
    <w:p w:rsidR="00C3399A" w:rsidRPr="00C3399A" w:rsidRDefault="00C3399A" w:rsidP="00C3399A">
      <w:pPr>
        <w:spacing w:after="120" w:line="240" w:lineRule="auto"/>
        <w:rPr>
          <w:rFonts w:ascii="Arial" w:eastAsia="Times New Roman" w:hAnsi="Arial" w:cs="Arial"/>
          <w:color w:val="2E2E2E"/>
          <w:sz w:val="21"/>
          <w:szCs w:val="21"/>
          <w:lang w:eastAsia="en-IN"/>
        </w:rPr>
      </w:pPr>
    </w:p>
    <w:p w:rsidR="00044788" w:rsidRDefault="00044788"/>
    <w:sectPr w:rsidR="000447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A037B3"/>
    <w:multiLevelType w:val="multilevel"/>
    <w:tmpl w:val="3B1CFA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77372B6"/>
    <w:multiLevelType w:val="multilevel"/>
    <w:tmpl w:val="0CE86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99A"/>
    <w:rsid w:val="00044788"/>
    <w:rsid w:val="00B47B91"/>
    <w:rsid w:val="00C3399A"/>
    <w:rsid w:val="00F76B2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3399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next w:val="Normal"/>
    <w:link w:val="Heading2Char"/>
    <w:uiPriority w:val="9"/>
    <w:semiHidden/>
    <w:unhideWhenUsed/>
    <w:qFormat/>
    <w:rsid w:val="00C3399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399A"/>
    <w:rPr>
      <w:rFonts w:ascii="Times New Roman" w:eastAsia="Times New Roman" w:hAnsi="Times New Roman" w:cs="Times New Roman"/>
      <w:b/>
      <w:bCs/>
      <w:kern w:val="36"/>
      <w:sz w:val="48"/>
      <w:szCs w:val="48"/>
      <w:lang w:eastAsia="en-IN"/>
    </w:rPr>
  </w:style>
  <w:style w:type="character" w:customStyle="1" w:styleId="title-text">
    <w:name w:val="title-text"/>
    <w:basedOn w:val="DefaultParagraphFont"/>
    <w:rsid w:val="00C3399A"/>
  </w:style>
  <w:style w:type="character" w:customStyle="1" w:styleId="sr-only">
    <w:name w:val="sr-only"/>
    <w:basedOn w:val="DefaultParagraphFont"/>
    <w:rsid w:val="00C3399A"/>
  </w:style>
  <w:style w:type="character" w:customStyle="1" w:styleId="content">
    <w:name w:val="content"/>
    <w:basedOn w:val="DefaultParagraphFont"/>
    <w:rsid w:val="00C3399A"/>
  </w:style>
  <w:style w:type="character" w:customStyle="1" w:styleId="text">
    <w:name w:val="text"/>
    <w:basedOn w:val="DefaultParagraphFont"/>
    <w:rsid w:val="00C3399A"/>
  </w:style>
  <w:style w:type="character" w:customStyle="1" w:styleId="author-ref">
    <w:name w:val="author-ref"/>
    <w:basedOn w:val="DefaultParagraphFont"/>
    <w:rsid w:val="00C3399A"/>
  </w:style>
  <w:style w:type="character" w:customStyle="1" w:styleId="Heading2Char">
    <w:name w:val="Heading 2 Char"/>
    <w:basedOn w:val="DefaultParagraphFont"/>
    <w:link w:val="Heading2"/>
    <w:uiPriority w:val="9"/>
    <w:semiHidden/>
    <w:rsid w:val="00C3399A"/>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C3399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display">
    <w:name w:val="display"/>
    <w:basedOn w:val="DefaultParagraphFont"/>
    <w:rsid w:val="00C3399A"/>
  </w:style>
  <w:style w:type="character" w:customStyle="1" w:styleId="anchor-text">
    <w:name w:val="anchor-text"/>
    <w:basedOn w:val="DefaultParagraphFont"/>
    <w:rsid w:val="00C3399A"/>
  </w:style>
  <w:style w:type="character" w:customStyle="1" w:styleId="download-link-title">
    <w:name w:val="download-link-title"/>
    <w:basedOn w:val="DefaultParagraphFont"/>
    <w:rsid w:val="00C3399A"/>
  </w:style>
  <w:style w:type="paragraph" w:styleId="BalloonText">
    <w:name w:val="Balloon Text"/>
    <w:basedOn w:val="Normal"/>
    <w:link w:val="BalloonTextChar"/>
    <w:uiPriority w:val="99"/>
    <w:semiHidden/>
    <w:unhideWhenUsed/>
    <w:rsid w:val="00C339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399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3399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next w:val="Normal"/>
    <w:link w:val="Heading2Char"/>
    <w:uiPriority w:val="9"/>
    <w:semiHidden/>
    <w:unhideWhenUsed/>
    <w:qFormat/>
    <w:rsid w:val="00C3399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399A"/>
    <w:rPr>
      <w:rFonts w:ascii="Times New Roman" w:eastAsia="Times New Roman" w:hAnsi="Times New Roman" w:cs="Times New Roman"/>
      <w:b/>
      <w:bCs/>
      <w:kern w:val="36"/>
      <w:sz w:val="48"/>
      <w:szCs w:val="48"/>
      <w:lang w:eastAsia="en-IN"/>
    </w:rPr>
  </w:style>
  <w:style w:type="character" w:customStyle="1" w:styleId="title-text">
    <w:name w:val="title-text"/>
    <w:basedOn w:val="DefaultParagraphFont"/>
    <w:rsid w:val="00C3399A"/>
  </w:style>
  <w:style w:type="character" w:customStyle="1" w:styleId="sr-only">
    <w:name w:val="sr-only"/>
    <w:basedOn w:val="DefaultParagraphFont"/>
    <w:rsid w:val="00C3399A"/>
  </w:style>
  <w:style w:type="character" w:customStyle="1" w:styleId="content">
    <w:name w:val="content"/>
    <w:basedOn w:val="DefaultParagraphFont"/>
    <w:rsid w:val="00C3399A"/>
  </w:style>
  <w:style w:type="character" w:customStyle="1" w:styleId="text">
    <w:name w:val="text"/>
    <w:basedOn w:val="DefaultParagraphFont"/>
    <w:rsid w:val="00C3399A"/>
  </w:style>
  <w:style w:type="character" w:customStyle="1" w:styleId="author-ref">
    <w:name w:val="author-ref"/>
    <w:basedOn w:val="DefaultParagraphFont"/>
    <w:rsid w:val="00C3399A"/>
  </w:style>
  <w:style w:type="character" w:customStyle="1" w:styleId="Heading2Char">
    <w:name w:val="Heading 2 Char"/>
    <w:basedOn w:val="DefaultParagraphFont"/>
    <w:link w:val="Heading2"/>
    <w:uiPriority w:val="9"/>
    <w:semiHidden/>
    <w:rsid w:val="00C3399A"/>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C3399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display">
    <w:name w:val="display"/>
    <w:basedOn w:val="DefaultParagraphFont"/>
    <w:rsid w:val="00C3399A"/>
  </w:style>
  <w:style w:type="character" w:customStyle="1" w:styleId="anchor-text">
    <w:name w:val="anchor-text"/>
    <w:basedOn w:val="DefaultParagraphFont"/>
    <w:rsid w:val="00C3399A"/>
  </w:style>
  <w:style w:type="character" w:customStyle="1" w:styleId="download-link-title">
    <w:name w:val="download-link-title"/>
    <w:basedOn w:val="DefaultParagraphFont"/>
    <w:rsid w:val="00C3399A"/>
  </w:style>
  <w:style w:type="paragraph" w:styleId="BalloonText">
    <w:name w:val="Balloon Text"/>
    <w:basedOn w:val="Normal"/>
    <w:link w:val="BalloonTextChar"/>
    <w:uiPriority w:val="99"/>
    <w:semiHidden/>
    <w:unhideWhenUsed/>
    <w:rsid w:val="00C339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399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7652211">
      <w:bodyDiv w:val="1"/>
      <w:marLeft w:val="0"/>
      <w:marRight w:val="0"/>
      <w:marTop w:val="0"/>
      <w:marBottom w:val="0"/>
      <w:divBdr>
        <w:top w:val="none" w:sz="0" w:space="0" w:color="auto"/>
        <w:left w:val="none" w:sz="0" w:space="0" w:color="auto"/>
        <w:bottom w:val="none" w:sz="0" w:space="0" w:color="auto"/>
        <w:right w:val="none" w:sz="0" w:space="0" w:color="auto"/>
      </w:divBdr>
    </w:div>
    <w:div w:id="1863085014">
      <w:bodyDiv w:val="1"/>
      <w:marLeft w:val="0"/>
      <w:marRight w:val="0"/>
      <w:marTop w:val="0"/>
      <w:marBottom w:val="0"/>
      <w:divBdr>
        <w:top w:val="none" w:sz="0" w:space="0" w:color="auto"/>
        <w:left w:val="none" w:sz="0" w:space="0" w:color="auto"/>
        <w:bottom w:val="none" w:sz="0" w:space="0" w:color="auto"/>
        <w:right w:val="none" w:sz="0" w:space="0" w:color="auto"/>
      </w:divBdr>
      <w:divsChild>
        <w:div w:id="2057047661">
          <w:marLeft w:val="0"/>
          <w:marRight w:val="0"/>
          <w:marTop w:val="0"/>
          <w:marBottom w:val="120"/>
          <w:divBdr>
            <w:top w:val="none" w:sz="0" w:space="0" w:color="auto"/>
            <w:left w:val="none" w:sz="0" w:space="0" w:color="auto"/>
            <w:bottom w:val="none" w:sz="0" w:space="0" w:color="auto"/>
            <w:right w:val="none" w:sz="0" w:space="0" w:color="auto"/>
          </w:divBdr>
          <w:divsChild>
            <w:div w:id="924806341">
              <w:marLeft w:val="0"/>
              <w:marRight w:val="0"/>
              <w:marTop w:val="0"/>
              <w:marBottom w:val="0"/>
              <w:divBdr>
                <w:top w:val="none" w:sz="0" w:space="0" w:color="auto"/>
                <w:left w:val="none" w:sz="0" w:space="0" w:color="auto"/>
                <w:bottom w:val="none" w:sz="0" w:space="0" w:color="auto"/>
                <w:right w:val="none" w:sz="0" w:space="0" w:color="auto"/>
              </w:divBdr>
              <w:divsChild>
                <w:div w:id="37973084">
                  <w:marLeft w:val="0"/>
                  <w:marRight w:val="0"/>
                  <w:marTop w:val="0"/>
                  <w:marBottom w:val="0"/>
                  <w:divBdr>
                    <w:top w:val="none" w:sz="0" w:space="0" w:color="auto"/>
                    <w:left w:val="none" w:sz="0" w:space="0" w:color="auto"/>
                    <w:bottom w:val="none" w:sz="0" w:space="0" w:color="auto"/>
                    <w:right w:val="none" w:sz="0" w:space="0" w:color="auto"/>
                  </w:divBdr>
                  <w:divsChild>
                    <w:div w:id="93285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855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article/pii/S2468024919302177"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sciencedirect.com/science/article/pii/S2468024919302177" TargetMode="Externa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ciencedirect.com/science/article/pii/S2468024919302177" TargetMode="External"/><Relationship Id="rId11" Type="http://schemas.openxmlformats.org/officeDocument/2006/relationships/hyperlink" Target="https://ars.els-cdn.com/content/image/1-s2.0-S2468024919302177-fx1.jpg" TargetMode="External"/><Relationship Id="rId5" Type="http://schemas.openxmlformats.org/officeDocument/2006/relationships/webSettings" Target="webSettings.xml"/><Relationship Id="rId10" Type="http://schemas.openxmlformats.org/officeDocument/2006/relationships/hyperlink" Target="https://ars.els-cdn.com/content/image/1-s2.0-S2468024919302177-fx1_lrg.jpg"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542</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Mazher Ahmed MD</dc:creator>
  <cp:lastModifiedBy>Down Syndrome 2022</cp:lastModifiedBy>
  <cp:revision>2</cp:revision>
  <dcterms:created xsi:type="dcterms:W3CDTF">2022-07-08T09:43:00Z</dcterms:created>
  <dcterms:modified xsi:type="dcterms:W3CDTF">2022-07-08T09:43:00Z</dcterms:modified>
</cp:coreProperties>
</file>