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media/image1.jpeg" ContentType="image/jpeg"/>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Text"/>
        <w:spacing w:before="3"/>
        <w:rPr>
          <w:rStyle w:val="None"/>
          <w:rFonts w:ascii="Arial" w:cs="Arial" w:hAnsi="Arial" w:eastAsia="Arial"/>
          <w:b w:val="1"/>
          <w:bCs w:val="1"/>
          <w:outline w:val="0"/>
          <w:color w:val="337ab7"/>
          <w:sz w:val="21"/>
          <w:szCs w:val="21"/>
          <w:u w:val="single" w:color="337ab7"/>
          <w14:textFill>
            <w14:solidFill>
              <w14:srgbClr w14:val="337AB7"/>
            </w14:solidFill>
          </w14:textFill>
        </w:rPr>
      </w:pPr>
      <w:r>
        <w:rPr>
          <w:rStyle w:val="None"/>
          <w:rFonts w:ascii="Arial" w:hAnsi="Arial"/>
          <w:b w:val="1"/>
          <w:bCs w:val="1"/>
          <w:outline w:val="0"/>
          <w:color w:val="337ab7"/>
          <w:sz w:val="21"/>
          <w:szCs w:val="21"/>
          <w:u w:val="single" w:color="337ab7"/>
          <w:rtl w:val="0"/>
          <w:lang w:val="en-US"/>
          <w14:textFill>
            <w14:solidFill>
              <w14:srgbClr w14:val="337AB7"/>
            </w14:solidFill>
          </w14:textFill>
        </w:rPr>
        <w:t>SUPERIOR VENA CAVA BLOOD FLOW AS A PREDICTOR OF NEONATAL MORBIDITY AND MORTALITY</w:t>
      </w:r>
    </w:p>
    <w:p>
      <w:pPr>
        <w:pStyle w:val="Body Text"/>
        <w:spacing w:before="3"/>
        <w:rPr>
          <w:rStyle w:val="None"/>
          <w:rFonts w:ascii="Arial" w:cs="Arial" w:hAnsi="Arial" w:eastAsia="Arial"/>
          <w:b w:val="1"/>
          <w:bCs w:val="1"/>
          <w:outline w:val="0"/>
          <w:color w:val="337ab7"/>
          <w:sz w:val="21"/>
          <w:szCs w:val="21"/>
          <w:u w:val="single" w:color="337ab7"/>
          <w14:textFill>
            <w14:solidFill>
              <w14:srgbClr w14:val="337AB7"/>
            </w14:solidFill>
          </w14:textFill>
        </w:rPr>
      </w:pPr>
      <w:r>
        <w:rPr>
          <w:rStyle w:val="None"/>
          <w:rFonts w:ascii="Arial" w:hAnsi="Arial"/>
          <w:b w:val="1"/>
          <w:bCs w:val="1"/>
          <w:outline w:val="0"/>
          <w:color w:val="337ab7"/>
          <w:sz w:val="21"/>
          <w:szCs w:val="21"/>
          <w:u w:val="single" w:color="337ab7"/>
          <w:rtl w:val="0"/>
          <w:lang w:val="en-US"/>
          <w14:textFill>
            <w14:solidFill>
              <w14:srgbClr w14:val="337AB7"/>
            </w14:solidFill>
          </w14:textFill>
        </w:rPr>
        <w:t xml:space="preserve">Dr Somya chaturvedi, MD </w:t>
      </w:r>
    </w:p>
    <w:p>
      <w:pPr>
        <w:pStyle w:val="Body Text"/>
        <w:spacing w:before="3"/>
        <w:rPr>
          <w:rStyle w:val="None"/>
          <w:rFonts w:ascii="Arial" w:cs="Arial" w:hAnsi="Arial" w:eastAsia="Arial"/>
          <w:b w:val="1"/>
          <w:bCs w:val="1"/>
          <w:outline w:val="0"/>
          <w:color w:val="337ab7"/>
          <w:sz w:val="21"/>
          <w:szCs w:val="21"/>
          <w:u w:val="single" w:color="337ab7"/>
          <w14:textFill>
            <w14:solidFill>
              <w14:srgbClr w14:val="337AB7"/>
            </w14:solidFill>
          </w14:textFill>
        </w:rPr>
      </w:pPr>
      <w:r>
        <w:rPr>
          <w:rStyle w:val="None"/>
          <w:rFonts w:ascii="Arial" w:hAnsi="Arial"/>
          <w:b w:val="1"/>
          <w:bCs w:val="1"/>
          <w:outline w:val="0"/>
          <w:color w:val="337ab7"/>
          <w:sz w:val="21"/>
          <w:szCs w:val="21"/>
          <w:u w:val="single" w:color="337ab7"/>
          <w:rtl w:val="0"/>
          <w:lang w:val="en-US"/>
          <w14:textFill>
            <w14:solidFill>
              <w14:srgbClr w14:val="337AB7"/>
            </w14:solidFill>
          </w14:textFill>
        </w:rPr>
        <w:t>Dr V Lakshmi DNB, Fellow (neo)</w:t>
      </w:r>
    </w:p>
    <w:p>
      <w:pPr>
        <w:pStyle w:val="Body Text"/>
        <w:spacing w:before="3"/>
        <w:rPr>
          <w:rStyle w:val="None"/>
          <w:rFonts w:ascii="Arial" w:cs="Arial" w:hAnsi="Arial" w:eastAsia="Arial"/>
          <w:b w:val="1"/>
          <w:bCs w:val="1"/>
          <w:outline w:val="0"/>
          <w:color w:val="337ab7"/>
          <w:sz w:val="21"/>
          <w:szCs w:val="21"/>
          <w:u w:val="single" w:color="337ab7"/>
          <w14:textFill>
            <w14:solidFill>
              <w14:srgbClr w14:val="337AB7"/>
            </w14:solidFill>
          </w14:textFill>
        </w:rPr>
      </w:pPr>
      <w:r>
        <w:rPr>
          <w:rStyle w:val="None"/>
          <w:rFonts w:ascii="Arial" w:hAnsi="Arial"/>
          <w:b w:val="1"/>
          <w:bCs w:val="1"/>
          <w:outline w:val="0"/>
          <w:color w:val="337ab7"/>
          <w:sz w:val="21"/>
          <w:szCs w:val="21"/>
          <w:u w:val="single" w:color="337ab7"/>
          <w:rtl w:val="0"/>
          <w:lang w:val="en-US"/>
          <w14:textFill>
            <w14:solidFill>
              <w14:srgbClr w14:val="337AB7"/>
            </w14:solidFill>
          </w14:textFill>
        </w:rPr>
        <w:t>DrMehta multispeciality hospital</w:t>
      </w:r>
    </w:p>
    <w:p>
      <w:pPr>
        <w:pStyle w:val="Body Text"/>
        <w:spacing w:before="3"/>
        <w:rPr>
          <w:rStyle w:val="None"/>
          <w:rFonts w:ascii="Arial" w:cs="Arial" w:hAnsi="Arial" w:eastAsia="Arial"/>
          <w:b w:val="1"/>
          <w:bCs w:val="1"/>
          <w:sz w:val="21"/>
          <w:szCs w:val="21"/>
          <w:u w:val="single"/>
        </w:rPr>
      </w:pPr>
      <w:r>
        <w:rPr>
          <w:rStyle w:val="None"/>
          <w:rFonts w:ascii="Arial" w:hAnsi="Arial"/>
          <w:b w:val="1"/>
          <w:bCs w:val="1"/>
          <w:outline w:val="0"/>
          <w:color w:val="337ab7"/>
          <w:sz w:val="21"/>
          <w:szCs w:val="21"/>
          <w:u w:val="single" w:color="337ab7"/>
          <w:rtl w:val="0"/>
          <w:lang w:val="en-US"/>
          <w14:textFill>
            <w14:solidFill>
              <w14:srgbClr w14:val="337AB7"/>
            </w14:solidFill>
          </w14:textFill>
        </w:rPr>
        <w:t>Chennai, India</w:t>
      </w:r>
    </w:p>
    <w:p>
      <w:pPr>
        <w:pStyle w:val="Body"/>
        <w:sectPr>
          <w:headerReference w:type="default" r:id="rId4"/>
          <w:footerReference w:type="default" r:id="rId5"/>
          <w:pgSz w:w="11920" w:h="16840" w:orient="portrait"/>
          <w:pgMar w:top="1740" w:right="600" w:bottom="840" w:left="620" w:header="541" w:footer="642"/>
          <w:bidi w:val="0"/>
        </w:sectPr>
      </w:pPr>
    </w:p>
    <w:p>
      <w:pPr>
        <w:pStyle w:val="Heading 3"/>
        <w:spacing w:before="147"/>
        <w:jc w:val="both"/>
      </w:pPr>
      <w:r>
        <w:rPr>
          <w:rStyle w:val="None"/>
          <w:outline w:val="0"/>
          <w:color w:val="bf5a14"/>
          <w:u w:color="bf5a14"/>
          <w:rtl w:val="0"/>
          <w:lang w:val="fr-FR"/>
          <w14:textFill>
            <w14:solidFill>
              <w14:srgbClr w14:val="BF5A14"/>
            </w14:solidFill>
          </w14:textFill>
        </w:rPr>
        <w:t xml:space="preserve">Abstract </w:t>
      </w:r>
    </w:p>
    <w:p>
      <w:pPr>
        <w:pStyle w:val="Body Text"/>
        <w:spacing w:before="90" w:line="280" w:lineRule="auto"/>
        <w:ind w:left="100" w:firstLine="0"/>
        <w:jc w:val="both"/>
        <w:rPr>
          <w:sz w:val="20"/>
          <w:szCs w:val="20"/>
        </w:rPr>
      </w:pPr>
      <w:r>
        <w:rPr>
          <w:rStyle w:val="None"/>
          <w:b w:val="1"/>
          <w:bCs w:val="1"/>
          <w:sz w:val="20"/>
          <w:szCs w:val="20"/>
          <w:rtl w:val="0"/>
          <w:lang w:val="en-US"/>
        </w:rPr>
        <w:t>Statement of the Problem:</w:t>
      </w:r>
      <w:r>
        <w:rPr>
          <w:sz w:val="20"/>
          <w:szCs w:val="20"/>
          <w:rtl w:val="0"/>
          <w:lang w:val="en-US"/>
        </w:rPr>
        <w:t xml:space="preserve"> Every year, an estimated 15 million babies are born preterm and this number is rising.</w:t>
      </w:r>
      <w:r>
        <w:rPr>
          <w:sz w:val="20"/>
          <w:szCs w:val="20"/>
          <w:rtl w:val="0"/>
          <w:lang w:val="en-US"/>
        </w:rPr>
        <w:t xml:space="preserve"> Prematurity is a major risk factor for intraventricular haemorrhage which also influences neurodevelopment outcomes. </w:t>
      </w:r>
      <w:r>
        <w:rPr>
          <w:sz w:val="20"/>
          <w:szCs w:val="20"/>
          <w:rtl w:val="0"/>
          <w:lang w:val="en-US"/>
        </w:rPr>
        <w:t xml:space="preserve"> Low ventricular outputs are common on day 1 in very preterm babies, subsequently improve, and are unusual after day 2. This hypoperfusion-reperfusion cycle happens in the time frame in which most IVHs occur</w:t>
      </w:r>
      <w:r>
        <w:rPr>
          <w:sz w:val="20"/>
          <w:szCs w:val="20"/>
          <w:rtl w:val="0"/>
          <w:lang w:val="en-US"/>
        </w:rPr>
        <w:t>.</w:t>
      </w:r>
      <w:r>
        <w:rPr>
          <w:sz w:val="20"/>
          <w:szCs w:val="20"/>
          <w:rtl w:val="0"/>
          <w:lang w:val="en-US"/>
        </w:rPr>
        <w:t>Because blood pressure correlates only weakly with systemic blood flow4 and because intracardiac shunts in the adapting heart confound the interpretation of ventricular outputs,</w:t>
      </w:r>
      <w:r>
        <w:rPr>
          <w:sz w:val="20"/>
          <w:szCs w:val="20"/>
          <w:rtl w:val="0"/>
          <w:lang w:val="en-US"/>
        </w:rPr>
        <w:t xml:space="preserve"> </w:t>
      </w:r>
      <w:r>
        <w:rPr>
          <w:sz w:val="20"/>
          <w:szCs w:val="20"/>
          <w:rtl w:val="0"/>
          <w:lang w:val="en-US"/>
        </w:rPr>
        <w:t>measurement of superior vena cava (SVC) flow is used in this study as a novel measure of upper body systemic blood flow. About 80% of upper body blood flow goes to the brain,8 so this may provide a useful marker of cerebral perfusion.</w:t>
      </w:r>
      <w:r>
        <w:rPr>
          <w:sz w:val="20"/>
          <w:szCs w:val="20"/>
          <w:rtl w:val="0"/>
          <w:lang w:val="en-US"/>
        </w:rPr>
        <w:t xml:space="preserve">hence, the </w:t>
      </w:r>
      <w:r>
        <w:rPr>
          <w:sz w:val="20"/>
          <w:szCs w:val="20"/>
          <w:rtl w:val="0"/>
          <w:lang w:val="en-US"/>
        </w:rPr>
        <w:t>Primary objective</w:t>
      </w:r>
      <w:r>
        <w:rPr>
          <w:sz w:val="20"/>
          <w:szCs w:val="20"/>
          <w:rtl w:val="0"/>
          <w:lang w:val="en-US"/>
        </w:rPr>
        <w:t xml:space="preserve"> of this </w:t>
      </w:r>
      <w:r>
        <w:rPr>
          <w:sz w:val="20"/>
          <w:szCs w:val="20"/>
          <w:rtl w:val="0"/>
          <w:lang w:val="en-US"/>
        </w:rPr>
        <w:t xml:space="preserve"> study</w:t>
      </w:r>
      <w:r>
        <w:rPr>
          <w:sz w:val="20"/>
          <w:szCs w:val="20"/>
          <w:rtl w:val="0"/>
          <w:lang w:val="en-US"/>
        </w:rPr>
        <w:t xml:space="preserve"> is to determine</w:t>
      </w:r>
      <w:r>
        <w:rPr>
          <w:sz w:val="20"/>
          <w:szCs w:val="20"/>
          <w:rtl w:val="0"/>
          <w:lang w:val="en-US"/>
        </w:rPr>
        <w:t xml:space="preserve"> the mortality, presence or absence of intra ventricular haemorrhage and Neurodevelopmental outcomes in preterm babies born less than 34 weeks gestation in relation to low Versus normal SVC flow measured by echocardiography within the first 48 hours of life.</w:t>
      </w:r>
    </w:p>
    <w:p>
      <w:pPr>
        <w:pStyle w:val="Body Text"/>
        <w:spacing w:before="90" w:line="280" w:lineRule="auto"/>
        <w:ind w:left="100" w:firstLine="0"/>
        <w:jc w:val="both"/>
        <w:rPr>
          <w:sz w:val="20"/>
          <w:szCs w:val="20"/>
        </w:rPr>
      </w:pPr>
      <w:r>
        <w:rPr>
          <w:rStyle w:val="None"/>
          <w:b w:val="1"/>
          <w:bCs w:val="1"/>
          <w:sz w:val="20"/>
          <w:szCs w:val="20"/>
          <w:rtl w:val="0"/>
          <w:lang w:val="en-US"/>
        </w:rPr>
        <w:t>Methodology:</w:t>
      </w:r>
      <w:r>
        <w:rPr>
          <w:sz w:val="20"/>
          <w:szCs w:val="20"/>
          <w:rtl w:val="0"/>
          <w:lang w:val="en-US"/>
        </w:rPr>
        <w:t xml:space="preserve"> Babies born at less than 34 weeks gestation with birth weight of less than 1.8kg admitted into the neonatal intensive care unit</w:t>
      </w:r>
      <w:r>
        <w:rPr>
          <w:sz w:val="20"/>
          <w:szCs w:val="20"/>
          <w:rtl w:val="0"/>
          <w:lang w:val="en-US"/>
        </w:rPr>
        <w:t xml:space="preserve"> over 1 year were evaluated for </w:t>
      </w:r>
      <w:r>
        <w:rPr>
          <w:sz w:val="20"/>
          <w:szCs w:val="20"/>
          <w:rtl w:val="0"/>
          <w:lang w:val="en-US"/>
        </w:rPr>
        <w:t>Superior vena cava flow using two dimensional and doppler echocardiography within 48 hours of life</w:t>
      </w:r>
      <w:r>
        <w:rPr>
          <w:sz w:val="20"/>
          <w:szCs w:val="20"/>
          <w:rtl w:val="0"/>
          <w:lang w:val="en-US"/>
        </w:rPr>
        <w:t>.</w:t>
      </w:r>
      <w:r>
        <w:rPr>
          <w:sz w:val="20"/>
          <w:szCs w:val="20"/>
          <w:rtl w:val="0"/>
          <w:lang w:val="en-US"/>
        </w:rPr>
        <w:t>SVC flow was considered normal if it was more than 55ml/kg/min, borderline if it was between 41-55ml/kg/min and low if it was less than41ml/kg/min</w:t>
      </w:r>
      <w:r>
        <w:rPr>
          <w:sz w:val="20"/>
          <w:szCs w:val="20"/>
          <w:rtl w:val="0"/>
          <w:lang w:val="en-US"/>
        </w:rPr>
        <w:t>.</w:t>
      </w:r>
      <w:r>
        <w:rPr>
          <w:sz w:val="20"/>
          <w:szCs w:val="20"/>
          <w:rtl w:val="0"/>
          <w:lang w:val="en-US"/>
        </w:rPr>
        <w:t>Intraventricular hemorrhage was classified based on</w:t>
      </w:r>
      <w:r>
        <w:rPr>
          <w:sz w:val="20"/>
          <w:szCs w:val="20"/>
          <w:rtl w:val="0"/>
          <w:lang w:val="en-US"/>
        </w:rPr>
        <w:t xml:space="preserve"> </w:t>
      </w:r>
      <w:r>
        <w:rPr>
          <w:sz w:val="20"/>
          <w:szCs w:val="20"/>
          <w:rtl w:val="0"/>
          <w:lang w:val="en-US"/>
        </w:rPr>
        <w:t>Papile"s grading system using bed side neurosonography.</w:t>
      </w:r>
      <w:r>
        <w:rPr>
          <w:sz w:val="20"/>
          <w:szCs w:val="20"/>
          <w:rtl w:val="0"/>
          <w:lang w:val="en-US"/>
        </w:rPr>
        <w:t xml:space="preserve"> </w:t>
      </w:r>
      <w:r>
        <w:rPr>
          <w:sz w:val="20"/>
          <w:szCs w:val="20"/>
          <w:rtl w:val="0"/>
          <w:lang w:val="en-US"/>
        </w:rPr>
        <w:t xml:space="preserve">Neurodevelopmental followup was done at corrected age of 1 year using the DASII scoring system25 which included both motor and mental assessment. A score of </w:t>
      </w:r>
      <w:r>
        <w:rPr>
          <w:sz w:val="20"/>
          <w:szCs w:val="20"/>
          <w:rtl w:val="0"/>
          <w:lang w:val="en-US"/>
        </w:rPr>
        <w:t>≤</w:t>
      </w:r>
      <w:r>
        <w:rPr>
          <w:sz w:val="20"/>
          <w:szCs w:val="20"/>
          <w:rtl w:val="0"/>
          <w:lang w:val="en-US"/>
        </w:rPr>
        <w:t>84 was taken as an abnormal neurodevelopmental outcome.</w:t>
      </w:r>
    </w:p>
    <w:p>
      <w:pPr>
        <w:pStyle w:val="Body Text"/>
        <w:spacing w:before="90" w:line="280" w:lineRule="auto"/>
        <w:ind w:left="100" w:firstLine="0"/>
        <w:jc w:val="both"/>
        <w:sectPr>
          <w:type w:val="continuous"/>
          <w:pgSz w:w="11920" w:h="16840" w:orient="portrait"/>
          <w:pgMar w:top="1740" w:right="600" w:bottom="840" w:left="620" w:header="541" w:footer="642"/>
          <w:cols w:num="2" w:equalWidth="0">
            <w:col w:w="5229" w:space="138"/>
            <w:col w:w="5353" w:space="0"/>
          </w:cols>
          <w:bidi w:val="0"/>
        </w:sectPr>
      </w:pPr>
      <w:r>
        <w:rPr>
          <w:rStyle w:val="None"/>
          <w:b w:val="1"/>
          <w:bCs w:val="1"/>
          <w:sz w:val="20"/>
          <w:szCs w:val="20"/>
          <w:rtl w:val="0"/>
          <w:lang w:val="en-US"/>
        </w:rPr>
        <w:t>Findings:</w:t>
      </w:r>
      <w:r>
        <w:rPr>
          <w:rStyle w:val="None"/>
          <w:sz w:val="20"/>
          <w:szCs w:val="20"/>
          <w:rtl w:val="0"/>
          <w:lang w:val="en-US"/>
        </w:rPr>
        <w:t xml:space="preserve"> SVC flow was measured in 112 babies (out of total 120) included in the study.  SVC flow &lt; 41 ml/kg/min  was seen in 7 out of 112 (12.5%) babies within 48 hours of life. Borderline SVC flow (41-55ml/kg/min) was seen in  7  out of 112 (12.5%) babies.  Normal SVC flow (&gt;55 ml/kg/min) was seen in 98 out of 112(87.5%)  babies</w:t>
      </w:r>
      <w:r>
        <w:rPr>
          <w:rStyle w:val="None"/>
          <w:sz w:val="20"/>
          <w:szCs w:val="20"/>
          <w:rtl w:val="0"/>
          <w:lang w:val="en-US"/>
        </w:rPr>
        <w:t>.</w:t>
      </w:r>
      <w:r>
        <w:rPr>
          <w:rStyle w:val="None"/>
          <w:sz w:val="20"/>
          <w:szCs w:val="20"/>
          <w:rtl w:val="0"/>
          <w:lang w:val="en-US"/>
        </w:rPr>
        <w:t xml:space="preserve"> The mean SVC flow was 78.94ml/kg/min in 27 babies born at gestational age </w:t>
      </w:r>
      <w:r>
        <w:rPr>
          <w:rStyle w:val="None"/>
          <w:sz w:val="20"/>
          <w:szCs w:val="20"/>
          <w:rtl w:val="0"/>
          <w:lang w:val="en-US"/>
        </w:rPr>
        <w:t>≤</w:t>
      </w:r>
      <w:r>
        <w:rPr>
          <w:rStyle w:val="None"/>
          <w:sz w:val="20"/>
          <w:szCs w:val="20"/>
          <w:rtl w:val="0"/>
          <w:lang w:val="en-US"/>
        </w:rPr>
        <w:t>30 weeks which was significantly lower when compared to a mean value of 118.02ml/kg/min in 78 babies of gestational age &gt;30 weeks(P=0.0000 )</w:t>
      </w:r>
      <w:r>
        <w:rPr>
          <w:rStyle w:val="None"/>
          <w:sz w:val="20"/>
          <w:szCs w:val="20"/>
          <w:rtl w:val="0"/>
          <w:lang w:val="en-US"/>
        </w:rPr>
        <w:t>.</w:t>
      </w:r>
      <w:r>
        <w:rPr>
          <w:rStyle w:val="None"/>
          <w:sz w:val="20"/>
          <w:szCs w:val="20"/>
          <w:rtl w:val="0"/>
          <w:lang w:val="en-US"/>
        </w:rPr>
        <w:t>Intraventricular hemorrhage (all grades) were seen in 6 out of 14 babies (42.85%) in  low SVC flow group as against 8 out of 98 babies (8.16%) in normal SVC flow group (p=0.001)</w:t>
      </w:r>
      <w:r>
        <w:rPr>
          <w:rStyle w:val="None"/>
          <w:sz w:val="20"/>
          <w:szCs w:val="20"/>
          <w:rtl w:val="0"/>
          <w:lang w:val="en-US"/>
        </w:rPr>
        <w:t>.</w:t>
      </w:r>
      <w:r>
        <w:rPr>
          <w:rStyle w:val="None"/>
          <w:sz w:val="20"/>
          <w:szCs w:val="20"/>
          <w:rtl w:val="0"/>
          <w:lang w:val="en-US"/>
        </w:rPr>
        <w:t xml:space="preserve"> Multilogistic regression regression analysis for Intraventricular haemorrhage shows that SVC flow is the sole determining factor factor for IVH (p=0.042). SVC flow was not statistically significant in determining mortality on multilogistic regression analysis</w:t>
      </w:r>
      <w:r>
        <w:rPr>
          <w:rStyle w:val="None"/>
          <w:sz w:val="20"/>
          <w:szCs w:val="20"/>
          <w:rtl w:val="0"/>
          <w:lang w:val="en-US"/>
        </w:rPr>
        <w:t>.</w:t>
      </w:r>
      <w:r>
        <w:rPr>
          <w:rStyle w:val="None"/>
          <w:sz w:val="20"/>
          <w:szCs w:val="20"/>
          <w:rtl w:val="0"/>
          <w:lang w:val="en-US"/>
        </w:rPr>
        <w:t xml:space="preserve">Motor DQ &lt;84  using the DAS II scales were seen in 2 out of 7(28.57%) babies examined in the low SVC flow group as against 8 out of 54(14.81%) babies examined in the normal SVC flow group (p=0.702). Similarly mental DQ sores &lt;84 were seen in 3 </w:t>
      </w:r>
      <w:r>
        <w:rPr>
          <w:rStyle w:val="None"/>
          <w:rtl w:val="0"/>
          <w:lang w:val="en-US"/>
        </w:rPr>
        <w:t xml:space="preserve"> out of 7 (42.85%) babies examined in the low SVC flow group as against 12 out of 54 (22.22%) babies examined in the normal SVC flow group which was not statistically significant (p=0.468). </w:t>
      </w:r>
      <w:r>
        <w:rPr>
          <w:rtl w:val="0"/>
          <w:lang w:val="en-US"/>
        </w:rPr>
        <w:t xml:space="preserve">Scatter diagram representing correlation of SVC with </w:t>
      </w:r>
      <w:r>
        <w:rPr>
          <w:rtl w:val="0"/>
          <w:lang w:val="en-US"/>
        </w:rPr>
        <w:t>gestational age(r=.608, p=.000)</w:t>
      </w:r>
      <w:r>
        <mc:AlternateContent>
          <mc:Choice Requires="wpg">
            <w:drawing>
              <wp:anchor distT="0" distB="0" distL="0" distR="0" simplePos="0" relativeHeight="251660288" behindDoc="0" locked="0" layoutInCell="1" allowOverlap="1">
                <wp:simplePos x="0" y="0"/>
                <wp:positionH relativeFrom="margin">
                  <wp:posOffset>3564254</wp:posOffset>
                </wp:positionH>
                <wp:positionV relativeFrom="line">
                  <wp:posOffset>179281</wp:posOffset>
                </wp:positionV>
                <wp:extent cx="2965450" cy="2371090"/>
                <wp:effectExtent l="0" t="0" r="0" b="0"/>
                <wp:wrapTopAndBottom distT="0" distB="0"/>
                <wp:docPr id="1073741832" name="officeArt object" descr="Picture 4"/>
                <wp:cNvGraphicFramePr/>
                <a:graphic xmlns:a="http://schemas.openxmlformats.org/drawingml/2006/main">
                  <a:graphicData uri="http://schemas.microsoft.com/office/word/2010/wordprocessingGroup">
                    <wpg:wgp>
                      <wpg:cNvGrpSpPr/>
                      <wpg:grpSpPr>
                        <a:xfrm>
                          <a:off x="0" y="0"/>
                          <a:ext cx="2965450" cy="2371090"/>
                          <a:chOff x="0" y="0"/>
                          <a:chExt cx="2965450" cy="2371089"/>
                        </a:xfrm>
                      </wpg:grpSpPr>
                      <wps:wsp>
                        <wps:cNvPr id="1073741830" name="Shape 1073741830"/>
                        <wps:cNvSpPr/>
                        <wps:spPr>
                          <a:xfrm>
                            <a:off x="0" y="0"/>
                            <a:ext cx="2965450" cy="2371090"/>
                          </a:xfrm>
                          <a:prstGeom prst="rect">
                            <a:avLst/>
                          </a:prstGeom>
                          <a:solidFill>
                            <a:srgbClr val="FFFFFF"/>
                          </a:solidFill>
                          <a:ln w="12700" cap="flat">
                            <a:noFill/>
                            <a:miter lim="400000"/>
                          </a:ln>
                          <a:effectLst/>
                        </wps:spPr>
                        <wps:bodyPr/>
                      </wps:wsp>
                      <pic:pic xmlns:pic="http://schemas.openxmlformats.org/drawingml/2006/picture">
                        <pic:nvPicPr>
                          <pic:cNvPr id="1073741831" name="image3.jpeg"/>
                          <pic:cNvPicPr>
                            <a:picLocks noChangeAspect="1"/>
                          </pic:cNvPicPr>
                        </pic:nvPicPr>
                        <pic:blipFill>
                          <a:blip r:embed="rId6">
                            <a:extLst/>
                          </a:blip>
                          <a:stretch>
                            <a:fillRect/>
                          </a:stretch>
                        </pic:blipFill>
                        <pic:spPr>
                          <a:xfrm>
                            <a:off x="0" y="0"/>
                            <a:ext cx="2965450" cy="2371090"/>
                          </a:xfrm>
                          <a:prstGeom prst="rect">
                            <a:avLst/>
                          </a:prstGeom>
                          <a:ln w="12700" cap="flat">
                            <a:noFill/>
                            <a:miter lim="400000"/>
                          </a:ln>
                          <a:effectLst/>
                        </pic:spPr>
                      </pic:pic>
                    </wpg:wgp>
                  </a:graphicData>
                </a:graphic>
              </wp:anchor>
            </w:drawing>
          </mc:Choice>
          <mc:Fallback>
            <w:pict>
              <v:group id="_x0000_s1026" style="visibility:visible;position:absolute;margin-left:280.6pt;margin-top:14.1pt;width:233.5pt;height:186.7pt;z-index:251660288;mso-position-horizontal:absolute;mso-position-horizontal-relative:margin;mso-position-vertical:absolute;mso-position-vertical-relative:line;mso-wrap-distance-left:0.0pt;mso-wrap-distance-top:0.0pt;mso-wrap-distance-right:0.0pt;mso-wrap-distance-bottom:0.0pt;" coordorigin="0,0" coordsize="2965450,2371090">
                <w10:wrap type="topAndBottom" side="bothSides" anchorx="margin"/>
                <v:rect id="_x0000_s1027" style="position:absolute;left:0;top:0;width:2965450;height:2371090;">
                  <v:fill color="#FFFFFF" opacity="100.0%" type="solid"/>
                  <v:stroke on="f" weight="1.0pt" dashstyle="solid" endcap="flat" miterlimit="400.0%" joinstyle="miter" linestyle="single" startarrow="none" startarrowwidth="medium" startarrowlength="medium" endarrow="none" endarrowwidth="medium" endarrowlength="medium"/>
                </v:rect>
                <v:shape id="_x0000_s1028" type="#_x0000_t75" style="position:absolute;left:0;top:0;width:2965450;height:2371090;">
                  <v:imagedata r:id="rId6" o:title="image3.jpeg"/>
                </v:shape>
              </v:group>
            </w:pict>
          </mc:Fallback>
        </mc:AlternateContent>
      </w:r>
    </w:p>
    <w:p>
      <w:pPr>
        <w:pStyle w:val="Body Text"/>
        <w:rPr>
          <w:rStyle w:val="None"/>
          <w:rFonts w:ascii="Calibri" w:cs="Calibri" w:hAnsi="Calibri" w:eastAsia="Calibri"/>
          <w:sz w:val="20"/>
          <w:szCs w:val="20"/>
        </w:rPr>
      </w:pPr>
    </w:p>
    <w:p>
      <w:pPr>
        <w:pStyle w:val="Body Text"/>
        <w:spacing w:line="40" w:lineRule="exact"/>
        <w:ind w:left="2202" w:firstLine="0"/>
        <w:rPr>
          <w:rStyle w:val="None"/>
          <w:rFonts w:ascii="Calibri" w:cs="Calibri" w:hAnsi="Calibri" w:eastAsia="Calibri"/>
          <w:sz w:val="4"/>
          <w:szCs w:val="4"/>
        </w:rPr>
      </w:pPr>
    </w:p>
    <w:p>
      <w:pPr>
        <w:pStyle w:val="Body"/>
        <w:spacing w:before="92"/>
        <w:ind w:right="4234"/>
        <w:rPr>
          <w:rStyle w:val="None"/>
          <w:rFonts w:ascii="Arial" w:cs="Arial" w:hAnsi="Arial" w:eastAsia="Arial"/>
        </w:rPr>
      </w:pPr>
      <w:r>
        <w:rPr>
          <w:rStyle w:val="None"/>
          <w:rFonts w:ascii="Arial" w:hAnsi="Arial"/>
          <w:outline w:val="0"/>
          <w:color w:val="bf5a14"/>
          <w:u w:color="bf5a14"/>
          <w:rtl w:val="0"/>
          <w:lang w:val="fr-FR"/>
          <w14:textFill>
            <w14:solidFill>
              <w14:srgbClr w14:val="BF5A14"/>
            </w14:solidFill>
          </w14:textFill>
        </w:rPr>
        <w:t xml:space="preserve">Biography </w:t>
      </w:r>
    </w:p>
    <w:p>
      <w:pPr>
        <w:pStyle w:val="Body"/>
        <w:spacing w:before="41" w:line="154" w:lineRule="exact"/>
        <w:ind w:left="213" w:right="231" w:firstLine="0"/>
        <w:jc w:val="both"/>
      </w:pPr>
      <w:r>
        <w:rPr>
          <w:rStyle w:val="None"/>
          <w:rFonts w:ascii="Arial" w:cs="Arial" w:hAnsi="Arial" w:eastAsia="Arial"/>
        </w:rPr>
        <mc:AlternateContent>
          <mc:Choice Requires="wps">
            <w:drawing>
              <wp:anchor distT="0" distB="0" distL="0" distR="0" simplePos="0" relativeHeight="251659264" behindDoc="0" locked="0" layoutInCell="1" allowOverlap="1">
                <wp:simplePos x="0" y="0"/>
                <wp:positionH relativeFrom="page">
                  <wp:posOffset>2061845</wp:posOffset>
                </wp:positionH>
                <wp:positionV relativeFrom="line">
                  <wp:posOffset>165100</wp:posOffset>
                </wp:positionV>
                <wp:extent cx="3442335" cy="0"/>
                <wp:effectExtent l="0" t="0" r="0" b="0"/>
                <wp:wrapTopAndBottom distT="0" distB="0"/>
                <wp:docPr id="1073741833" name="officeArt object"/>
                <wp:cNvGraphicFramePr/>
                <a:graphic xmlns:a="http://schemas.openxmlformats.org/drawingml/2006/main">
                  <a:graphicData uri="http://schemas.microsoft.com/office/word/2010/wordprocessingShape">
                    <wps:wsp>
                      <wps:cNvSpPr/>
                      <wps:spPr>
                        <a:xfrm>
                          <a:off x="0" y="0"/>
                          <a:ext cx="3442335" cy="0"/>
                        </a:xfrm>
                        <a:prstGeom prst="line">
                          <a:avLst/>
                        </a:prstGeom>
                        <a:noFill/>
                        <a:ln w="6350" cap="flat">
                          <a:solidFill>
                            <a:srgbClr val="004080"/>
                          </a:solidFill>
                          <a:prstDash val="solid"/>
                          <a:round/>
                        </a:ln>
                        <a:effectLst/>
                      </wps:spPr>
                      <wps:bodyPr/>
                    </wps:wsp>
                  </a:graphicData>
                </a:graphic>
              </wp:anchor>
            </w:drawing>
          </mc:Choice>
          <mc:Fallback>
            <w:pict>
              <v:line id="_x0000_s1029" style="visibility:visible;position:absolute;margin-left:162.4pt;margin-top:13.0pt;width:271.0pt;height:0.0pt;z-index:251659264;mso-position-horizontal:absolute;mso-position-horizontal-relative:page;mso-position-vertical:absolute;mso-position-vertical-relative:line;mso-wrap-distance-left:0.0pt;mso-wrap-distance-top:0.0pt;mso-wrap-distance-right:0.0pt;mso-wrap-distance-bottom:0.0pt;">
                <v:fill on="f"/>
                <v:stroke filltype="solid" color="#004080" opacity="100.0%" weight="0.5pt" dashstyle="solid" endcap="flat" joinstyle="round" linestyle="single" startarrow="none" startarrowwidth="medium" startarrowlength="medium" endarrow="none" endarrowwidth="medium" endarrowlength="medium"/>
                <w10:wrap type="topAndBottom" side="bothSides" anchorx="page"/>
              </v:line>
            </w:pict>
          </mc:Fallback>
        </mc:AlternateContent>
      </w:r>
      <w:r>
        <w:rPr>
          <w:rStyle w:val="None"/>
          <w:rFonts w:ascii="Arial" w:hAnsi="Arial"/>
          <w:rtl w:val="0"/>
          <w:lang w:val="en-US"/>
        </w:rPr>
        <w:t>Kluckow, M. (2000). Low superior vena cava flow and intraventricular haemorrhage in preterm infants. Archives of Disease in Childhood - Fetal and Neonatal Edition, 82(3), 188F</w:t>
      </w:r>
      <w:r>
        <w:rPr>
          <w:rStyle w:val="None"/>
          <w:rFonts w:ascii="Arial" w:hAnsi="Arial" w:hint="default"/>
          <w:rtl w:val="0"/>
        </w:rPr>
        <w:t>–</w:t>
      </w:r>
      <w:r>
        <w:rPr>
          <w:rStyle w:val="None"/>
          <w:rFonts w:ascii="Arial" w:hAnsi="Arial"/>
          <w:rtl w:val="0"/>
        </w:rPr>
        <w:t>194.</w:t>
      </w:r>
      <w:r>
        <w:rPr>
          <w:rStyle w:val="None"/>
          <w:rFonts w:ascii="Calibri" w:cs="Calibri" w:hAnsi="Calibri" w:eastAsia="Calibri"/>
          <w:sz w:val="4"/>
          <w:szCs w:val="4"/>
        </w:rPr>
        <mc:AlternateContent>
          <mc:Choice Requires="wps">
            <w:drawing>
              <wp:inline distT="0" distB="0" distL="0" distR="0">
                <wp:extent cx="4524973" cy="0"/>
                <wp:effectExtent l="0" t="0" r="0" b="0"/>
                <wp:docPr id="1073741834" name="officeArt object"/>
                <wp:cNvGraphicFramePr/>
                <a:graphic xmlns:a="http://schemas.openxmlformats.org/drawingml/2006/main">
                  <a:graphicData uri="http://schemas.microsoft.com/office/word/2010/wordprocessingShape">
                    <wps:wsp>
                      <wps:cNvSpPr/>
                      <wps:spPr>
                        <a:xfrm>
                          <a:off x="0" y="0"/>
                          <a:ext cx="4524973" cy="0"/>
                        </a:xfrm>
                        <a:prstGeom prst="line">
                          <a:avLst/>
                        </a:prstGeom>
                        <a:noFill/>
                        <a:ln w="25400" cap="flat">
                          <a:solidFill>
                            <a:srgbClr val="004080"/>
                          </a:solidFill>
                          <a:prstDash val="solid"/>
                          <a:round/>
                        </a:ln>
                        <a:effectLst/>
                      </wps:spPr>
                      <wps:bodyPr/>
                    </wps:wsp>
                  </a:graphicData>
                </a:graphic>
              </wp:inline>
            </w:drawing>
          </mc:Choice>
          <mc:Fallback>
            <w:pict>
              <v:line id="_x0000_s1030" style="visibility:visible;width:356.3pt;height:0.0pt;">
                <v:fill on="f"/>
                <v:stroke filltype="solid" color="#004080" opacity="100.0%" weight="2.0pt" dashstyle="solid" endcap="flat" joinstyle="round" linestyle="single" startarrow="none" startarrowwidth="medium" startarrowlength="medium" endarrow="none" endarrowwidth="medium" endarrowlength="medium"/>
              </v:line>
            </w:pict>
          </mc:Fallback>
        </mc:AlternateContent>
      </w:r>
      <w:r>
        <w:rPr>
          <w:rStyle w:val="None"/>
          <w:rFonts w:ascii="Arial" w:cs="Arial" w:hAnsi="Arial" w:eastAsia="Arial"/>
        </w:rPr>
        <w:br w:type="page"/>
      </w:r>
    </w:p>
    <w:sectPr>
      <w:type w:val="continuous"/>
      <w:pgSz w:w="11920" w:h="16840" w:orient="portrait"/>
      <w:pgMar w:top="1740" w:right="600" w:bottom="840" w:left="620" w:header="541" w:footer="642"/>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Tw Cen MT">
    <w:charset w:val="00"/>
    <w:family w:val="roman"/>
    <w:pitch w:val="default"/>
  </w:font>
  <w:font w:name="Myriad Pro">
    <w:charset w:val="00"/>
    <w:family w:val="roman"/>
    <w:pitch w:val="default"/>
  </w:font>
  <w:font w:name="Impact">
    <w:charset w:val="00"/>
    <w:family w:val="roman"/>
    <w:pitch w:val="default"/>
  </w:font>
  <w:font w:name="Minion Pro">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Text"/>
      <w:spacing w:line="14" w:lineRule="auto"/>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Text"/>
      <w:spacing w:line="14" w:lineRule="auto"/>
    </w:pPr>
    <w:r>
      <mc:AlternateContent>
        <mc:Choice Requires="wps">
          <w:drawing>
            <wp:anchor distT="152400" distB="152400" distL="152400" distR="152400" simplePos="0" relativeHeight="251658240" behindDoc="1" locked="0" layoutInCell="1" allowOverlap="1">
              <wp:simplePos x="0" y="0"/>
              <wp:positionH relativeFrom="page">
                <wp:posOffset>5283200</wp:posOffset>
              </wp:positionH>
              <wp:positionV relativeFrom="page">
                <wp:posOffset>330834</wp:posOffset>
              </wp:positionV>
              <wp:extent cx="1832611" cy="220980"/>
              <wp:effectExtent l="0" t="0" r="0" b="0"/>
              <wp:wrapNone/>
              <wp:docPr id="1073741825" name="officeArt object"/>
              <wp:cNvGraphicFramePr/>
              <a:graphic xmlns:a="http://schemas.openxmlformats.org/drawingml/2006/main">
                <a:graphicData uri="http://schemas.microsoft.com/office/word/2010/wordprocessingShape">
                  <wps:wsp>
                    <wps:cNvSpPr txBox="1"/>
                    <wps:spPr>
                      <a:xfrm>
                        <a:off x="0" y="0"/>
                        <a:ext cx="1832611" cy="220980"/>
                      </a:xfrm>
                      <a:prstGeom prst="rect">
                        <a:avLst/>
                      </a:prstGeom>
                      <a:noFill/>
                      <a:ln w="12700" cap="flat">
                        <a:noFill/>
                        <a:miter lim="400000"/>
                      </a:ln>
                      <a:effectLst/>
                    </wps:spPr>
                    <wps:txbx>
                      <w:txbxContent>
                        <w:p>
                          <w:pPr>
                            <w:pStyle w:val="Body"/>
                            <w:spacing w:before="2" w:line="249" w:lineRule="auto"/>
                            <w:ind w:left="156" w:right="18" w:hanging="137"/>
                          </w:pPr>
                          <w:r>
                            <w:rPr>
                              <w:rFonts w:ascii="Arial" w:hAnsi="Arial"/>
                              <w:outline w:val="0"/>
                              <w:color w:val="ffffff"/>
                              <w:sz w:val="14"/>
                              <w:szCs w:val="14"/>
                              <w:u w:color="ffffff"/>
                              <w:rtl w:val="0"/>
                              <w14:textFill>
                                <w14:solidFill>
                                  <w14:srgbClr w14:val="FFFFFF"/>
                                </w14:solidFill>
                              </w14:textFill>
                            </w:rPr>
                            <w:t xml:space="preserve">T Furuta et al., J Pai n Relief 2016, 5:3(Suppl) </w:t>
                          </w:r>
                          <w:r>
                            <w:rPr>
                              <w:rStyle w:val="Hyperlink.0"/>
                            </w:rPr>
                            <w:fldChar w:fldCharType="begin" w:fldLock="0"/>
                          </w:r>
                          <w:r>
                            <w:rPr>
                              <w:rStyle w:val="Hyperlink.0"/>
                            </w:rPr>
                            <w:instrText xml:space="preserve"> HYPERLINK "http://dx.doi.org/10.4172/2167-0846.C1.006"</w:instrText>
                          </w:r>
                          <w:r>
                            <w:rPr>
                              <w:rStyle w:val="Hyperlink.0"/>
                            </w:rPr>
                            <w:fldChar w:fldCharType="separate" w:fldLock="0"/>
                          </w:r>
                          <w:r>
                            <w:rPr>
                              <w:rStyle w:val="Hyperlink.0"/>
                              <w:rtl w:val="0"/>
                              <w:lang w:val="en-US"/>
                            </w:rPr>
                            <w:t>http://dx.doi.org/10.4172/2167-0846.C1.006</w:t>
                          </w:r>
                          <w:r>
                            <w:rPr/>
                            <w:fldChar w:fldCharType="end" w:fldLock="0"/>
                          </w:r>
                        </w:p>
                      </w:txbxContent>
                    </wps:txbx>
                    <wps:bodyPr wrap="square" lIns="0" tIns="0" rIns="0" bIns="0" numCol="1" anchor="t">
                      <a:noAutofit/>
                    </wps:bodyPr>
                  </wps:wsp>
                </a:graphicData>
              </a:graphic>
            </wp:anchor>
          </w:drawing>
        </mc:Choice>
        <mc:Fallback>
          <w:pict>
            <v:shape id="_x0000_s1031" type="#_x0000_t202" style="visibility:visible;position:absolute;margin-left:416.0pt;margin-top:26.0pt;width:144.3pt;height:17.4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before="2" w:line="249" w:lineRule="auto"/>
                      <w:ind w:left="156" w:right="18" w:hanging="137"/>
                    </w:pPr>
                    <w:r>
                      <w:rPr>
                        <w:rFonts w:ascii="Arial" w:hAnsi="Arial"/>
                        <w:outline w:val="0"/>
                        <w:color w:val="ffffff"/>
                        <w:sz w:val="14"/>
                        <w:szCs w:val="14"/>
                        <w:u w:color="ffffff"/>
                        <w:rtl w:val="0"/>
                        <w14:textFill>
                          <w14:solidFill>
                            <w14:srgbClr w14:val="FFFFFF"/>
                          </w14:solidFill>
                        </w14:textFill>
                      </w:rPr>
                      <w:t xml:space="preserve">T Furuta et al., J Pai n Relief 2016, 5:3(Suppl) </w:t>
                    </w:r>
                    <w:r>
                      <w:rPr>
                        <w:rStyle w:val="Hyperlink.0"/>
                      </w:rPr>
                      <w:fldChar w:fldCharType="begin" w:fldLock="0"/>
                    </w:r>
                    <w:r>
                      <w:rPr>
                        <w:rStyle w:val="Hyperlink.0"/>
                      </w:rPr>
                      <w:instrText xml:space="preserve"> HYPERLINK "http://dx.doi.org/10.4172/2167-0846.C1.006"</w:instrText>
                    </w:r>
                    <w:r>
                      <w:rPr>
                        <w:rStyle w:val="Hyperlink.0"/>
                      </w:rPr>
                      <w:fldChar w:fldCharType="separate" w:fldLock="0"/>
                    </w:r>
                    <w:r>
                      <w:rPr>
                        <w:rStyle w:val="Hyperlink.0"/>
                        <w:rtl w:val="0"/>
                        <w:lang w:val="en-US"/>
                      </w:rPr>
                      <w:t>http://dx.doi.org/10.4172/2167-0846.C1.006</w:t>
                    </w:r>
                    <w:r>
                      <w:rPr/>
                      <w:fldChar w:fldCharType="end" w:fldLock="0"/>
                    </w:r>
                  </w:p>
                </w:txbxContent>
              </v:textbox>
              <w10:wrap type="none" side="bothSides" anchorx="page" anchory="page"/>
            </v:shape>
          </w:pict>
        </mc:Fallback>
      </mc:AlternateContent>
    </w:r>
    <w:r>
      <mc:AlternateContent>
        <mc:Choice Requires="wps">
          <w:drawing>
            <wp:anchor distT="152400" distB="152400" distL="152400" distR="152400" simplePos="0" relativeHeight="251659264" behindDoc="1" locked="0" layoutInCell="1" allowOverlap="1">
              <wp:simplePos x="0" y="0"/>
              <wp:positionH relativeFrom="page">
                <wp:posOffset>444500</wp:posOffset>
              </wp:positionH>
              <wp:positionV relativeFrom="page">
                <wp:posOffset>613409</wp:posOffset>
              </wp:positionV>
              <wp:extent cx="6552566" cy="509270"/>
              <wp:effectExtent l="0" t="0" r="0" b="0"/>
              <wp:wrapNone/>
              <wp:docPr id="1073741826" name="officeArt object"/>
              <wp:cNvGraphicFramePr/>
              <a:graphic xmlns:a="http://schemas.openxmlformats.org/drawingml/2006/main">
                <a:graphicData uri="http://schemas.microsoft.com/office/word/2010/wordprocessingShape">
                  <wps:wsp>
                    <wps:cNvSpPr txBox="1"/>
                    <wps:spPr>
                      <a:xfrm>
                        <a:off x="0" y="0"/>
                        <a:ext cx="6552566" cy="509270"/>
                      </a:xfrm>
                      <a:prstGeom prst="rect">
                        <a:avLst/>
                      </a:prstGeom>
                      <a:noFill/>
                      <a:ln w="12700" cap="flat">
                        <a:noFill/>
                        <a:miter lim="400000"/>
                      </a:ln>
                      <a:effectLst/>
                    </wps:spPr>
                    <wps:txbx>
                      <w:txbxContent>
                        <w:p>
                          <w:pPr>
                            <w:pStyle w:val="Body Text"/>
                            <w:spacing w:line="187" w:lineRule="exact"/>
                            <w:ind w:left="20" w:firstLine="0"/>
                            <w:rPr>
                              <w:rStyle w:val="None"/>
                              <w:rFonts w:ascii="Myriad Pro" w:cs="Myriad Pro" w:hAnsi="Myriad Pro" w:eastAsia="Myriad Pro"/>
                              <w:outline w:val="0"/>
                              <w:color w:val="ffffff"/>
                              <w:u w:color="ffffff"/>
                              <w14:textFill>
                                <w14:solidFill>
                                  <w14:srgbClr w14:val="FFFFFF"/>
                                </w14:solidFill>
                              </w14:textFill>
                            </w:rPr>
                          </w:pPr>
                          <w:r>
                            <w:rPr>
                              <w:rStyle w:val="None"/>
                              <w:rFonts w:ascii="Myriad Pro" w:cs="Myriad Pro" w:hAnsi="Myriad Pro" w:eastAsia="Myriad Pro"/>
                              <w:outline w:val="0"/>
                              <w:color w:val="ffffff"/>
                              <w:u w:color="ffffff"/>
                              <w:rtl w:val="0"/>
                              <w:lang w:val="en-US"/>
                              <w14:textFill>
                                <w14:solidFill>
                                  <w14:srgbClr w14:val="FFFFFF"/>
                                </w14:solidFill>
                              </w14:textFill>
                            </w:rPr>
                            <w:t>International Conference on</w:t>
                          </w:r>
                        </w:p>
                        <w:p>
                          <w:pPr>
                            <w:pStyle w:val="Body"/>
                            <w:spacing w:line="614" w:lineRule="exact"/>
                            <w:ind w:left="20" w:firstLine="0"/>
                          </w:pPr>
                          <w:r>
                            <w:rPr>
                              <w:rStyle w:val="None"/>
                              <w:rFonts w:ascii="Impact" w:hAnsi="Impact"/>
                              <w:outline w:val="0"/>
                              <w:color w:val="ffffff"/>
                              <w:sz w:val="52"/>
                              <w:szCs w:val="52"/>
                              <w:u w:color="ffffff"/>
                              <w:rtl w:val="0"/>
                              <w:lang w:val="en-US"/>
                              <w14:textFill>
                                <w14:solidFill>
                                  <w14:srgbClr w14:val="FFFFFF"/>
                                </w14:solidFill>
                              </w14:textFill>
                            </w:rPr>
                            <w:t xml:space="preserve">Fibromyalgia and Chronic Pain </w:t>
                          </w:r>
                          <w:r>
                            <w:rPr>
                              <w:rStyle w:val="None"/>
                              <w:rFonts w:ascii="Minion Pro" w:cs="Minion Pro" w:hAnsi="Minion Pro" w:eastAsia="Minion Pro"/>
                              <w:outline w:val="0"/>
                              <w:color w:val="ffffff"/>
                              <w:sz w:val="24"/>
                              <w:szCs w:val="24"/>
                              <w:u w:color="ffffff"/>
                              <w:rtl w:val="0"/>
                              <w:lang w:val="en-US"/>
                              <w14:textFill>
                                <w14:solidFill>
                                  <w14:srgbClr w14:val="FFFFFF"/>
                                </w14:solidFill>
                              </w14:textFill>
                            </w:rPr>
                            <w:t>(June 15-16, 2016   Philadelphia, USA)</w:t>
                          </w:r>
                        </w:p>
                      </w:txbxContent>
                    </wps:txbx>
                    <wps:bodyPr wrap="square" lIns="0" tIns="0" rIns="0" bIns="0" numCol="1" anchor="t">
                      <a:noAutofit/>
                    </wps:bodyPr>
                  </wps:wsp>
                </a:graphicData>
              </a:graphic>
            </wp:anchor>
          </w:drawing>
        </mc:Choice>
        <mc:Fallback>
          <w:pict>
            <v:shape id="_x0000_s1032" type="#_x0000_t202" style="visibility:visible;position:absolute;margin-left:35.0pt;margin-top:48.3pt;width:516.0pt;height:40.1pt;z-index:-251657216;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Text"/>
                      <w:spacing w:line="187" w:lineRule="exact"/>
                      <w:ind w:left="20" w:firstLine="0"/>
                      <w:rPr>
                        <w:rStyle w:val="None"/>
                        <w:rFonts w:ascii="Myriad Pro" w:cs="Myriad Pro" w:hAnsi="Myriad Pro" w:eastAsia="Myriad Pro"/>
                        <w:outline w:val="0"/>
                        <w:color w:val="ffffff"/>
                        <w:u w:color="ffffff"/>
                        <w14:textFill>
                          <w14:solidFill>
                            <w14:srgbClr w14:val="FFFFFF"/>
                          </w14:solidFill>
                        </w14:textFill>
                      </w:rPr>
                    </w:pPr>
                    <w:r>
                      <w:rPr>
                        <w:rStyle w:val="None"/>
                        <w:rFonts w:ascii="Myriad Pro" w:cs="Myriad Pro" w:hAnsi="Myriad Pro" w:eastAsia="Myriad Pro"/>
                        <w:outline w:val="0"/>
                        <w:color w:val="ffffff"/>
                        <w:u w:color="ffffff"/>
                        <w:rtl w:val="0"/>
                        <w:lang w:val="en-US"/>
                        <w14:textFill>
                          <w14:solidFill>
                            <w14:srgbClr w14:val="FFFFFF"/>
                          </w14:solidFill>
                        </w14:textFill>
                      </w:rPr>
                      <w:t>International Conference on</w:t>
                    </w:r>
                  </w:p>
                  <w:p>
                    <w:pPr>
                      <w:pStyle w:val="Body"/>
                      <w:spacing w:line="614" w:lineRule="exact"/>
                      <w:ind w:left="20" w:firstLine="0"/>
                    </w:pPr>
                    <w:r>
                      <w:rPr>
                        <w:rStyle w:val="None"/>
                        <w:rFonts w:ascii="Impact" w:hAnsi="Impact"/>
                        <w:outline w:val="0"/>
                        <w:color w:val="ffffff"/>
                        <w:sz w:val="52"/>
                        <w:szCs w:val="52"/>
                        <w:u w:color="ffffff"/>
                        <w:rtl w:val="0"/>
                        <w:lang w:val="en-US"/>
                        <w14:textFill>
                          <w14:solidFill>
                            <w14:srgbClr w14:val="FFFFFF"/>
                          </w14:solidFill>
                        </w14:textFill>
                      </w:rPr>
                      <w:t xml:space="preserve">Fibromyalgia and Chronic Pain </w:t>
                    </w:r>
                    <w:r>
                      <w:rPr>
                        <w:rStyle w:val="None"/>
                        <w:rFonts w:ascii="Minion Pro" w:cs="Minion Pro" w:hAnsi="Minion Pro" w:eastAsia="Minion Pro"/>
                        <w:outline w:val="0"/>
                        <w:color w:val="ffffff"/>
                        <w:sz w:val="24"/>
                        <w:szCs w:val="24"/>
                        <w:u w:color="ffffff"/>
                        <w:rtl w:val="0"/>
                        <w:lang w:val="en-US"/>
                        <w14:textFill>
                          <w14:solidFill>
                            <w14:srgbClr w14:val="FFFFFF"/>
                          </w14:solidFill>
                        </w14:textFill>
                      </w:rPr>
                      <w:t>(June 15-16, 2016   Philadelphia, USA)</w:t>
                    </w:r>
                  </w:p>
                </w:txbxContent>
              </v:textbox>
              <w10:wrap type="none" side="bothSides" anchorx="page" anchory="page"/>
            </v:shape>
          </w:pict>
        </mc:Fallback>
      </mc:AlternateContent>
    </w:r>
    <w:r>
      <mc:AlternateContent>
        <mc:Choice Requires="wps">
          <w:drawing>
            <wp:anchor distT="152400" distB="152400" distL="152400" distR="152400" simplePos="0" relativeHeight="251660288" behindDoc="1" locked="0" layoutInCell="1" allowOverlap="1">
              <wp:simplePos x="0" y="0"/>
              <wp:positionH relativeFrom="page">
                <wp:posOffset>444500</wp:posOffset>
              </wp:positionH>
              <wp:positionV relativeFrom="page">
                <wp:posOffset>10144759</wp:posOffset>
              </wp:positionV>
              <wp:extent cx="2136140" cy="248921"/>
              <wp:effectExtent l="0" t="0" r="0" b="0"/>
              <wp:wrapNone/>
              <wp:docPr id="1073741827" name="officeArt object"/>
              <wp:cNvGraphicFramePr/>
              <a:graphic xmlns:a="http://schemas.openxmlformats.org/drawingml/2006/main">
                <a:graphicData uri="http://schemas.microsoft.com/office/word/2010/wordprocessingShape">
                  <wps:wsp>
                    <wps:cNvSpPr txBox="1"/>
                    <wps:spPr>
                      <a:xfrm>
                        <a:off x="0" y="0"/>
                        <a:ext cx="2136140" cy="248921"/>
                      </a:xfrm>
                      <a:prstGeom prst="rect">
                        <a:avLst/>
                      </a:prstGeom>
                      <a:noFill/>
                      <a:ln w="12700" cap="flat">
                        <a:noFill/>
                        <a:miter lim="400000"/>
                      </a:ln>
                      <a:effectLst/>
                    </wps:spPr>
                    <wps:txbx>
                      <w:txbxContent>
                        <w:p>
                          <w:pPr>
                            <w:pStyle w:val="Body"/>
                            <w:spacing w:line="184" w:lineRule="exact"/>
                            <w:ind w:left="20" w:firstLine="0"/>
                            <w:rPr>
                              <w:rStyle w:val="None"/>
                              <w:rFonts w:ascii="Arial" w:cs="Arial" w:hAnsi="Arial" w:eastAsia="Arial"/>
                              <w:outline w:val="0"/>
                              <w:color w:val="ffffff"/>
                              <w:sz w:val="16"/>
                              <w:szCs w:val="16"/>
                              <w:u w:color="ffffff"/>
                              <w14:textFill>
                                <w14:solidFill>
                                  <w14:srgbClr w14:val="FFFFFF"/>
                                </w14:solidFill>
                              </w14:textFill>
                            </w:rPr>
                          </w:pPr>
                          <w:r>
                            <w:rPr>
                              <w:rStyle w:val="None"/>
                              <w:rFonts w:ascii="Arial" w:hAnsi="Arial"/>
                              <w:outline w:val="0"/>
                              <w:color w:val="ffffff"/>
                              <w:sz w:val="16"/>
                              <w:szCs w:val="16"/>
                              <w:u w:color="ffffff"/>
                              <w:rtl w:val="0"/>
                              <w:lang w:val="en-US"/>
                              <w14:textFill>
                                <w14:solidFill>
                                  <w14:srgbClr w14:val="FFFFFF"/>
                                </w14:solidFill>
                              </w14:textFill>
                            </w:rPr>
                            <w:t>J Pain Relief</w:t>
                          </w:r>
                        </w:p>
                        <w:p>
                          <w:pPr>
                            <w:pStyle w:val="Body"/>
                            <w:spacing w:before="8"/>
                            <w:ind w:left="20" w:firstLine="0"/>
                          </w:pPr>
                          <w:r>
                            <w:rPr>
                              <w:rStyle w:val="None"/>
                              <w:rFonts w:ascii="Arial" w:hAnsi="Arial"/>
                              <w:outline w:val="0"/>
                              <w:color w:val="ffffff"/>
                              <w:sz w:val="16"/>
                              <w:szCs w:val="16"/>
                              <w:u w:color="ffffff"/>
                              <w:rtl w:val="0"/>
                              <w:lang w:val="en-US"/>
                              <w14:textFill>
                                <w14:solidFill>
                                  <w14:srgbClr w14:val="FFFFFF"/>
                                </w14:solidFill>
                              </w14:textFill>
                            </w:rPr>
                            <w:t>ISSN: 2167-0846 JPAR an open access journa</w:t>
                          </w:r>
                        </w:p>
                      </w:txbxContent>
                    </wps:txbx>
                    <wps:bodyPr wrap="square" lIns="0" tIns="0" rIns="0" bIns="0" numCol="1" anchor="t">
                      <a:noAutofit/>
                    </wps:bodyPr>
                  </wps:wsp>
                </a:graphicData>
              </a:graphic>
            </wp:anchor>
          </w:drawing>
        </mc:Choice>
        <mc:Fallback>
          <w:pict>
            <v:shape id="_x0000_s1033" type="#_x0000_t202" style="visibility:visible;position:absolute;margin-left:35.0pt;margin-top:798.8pt;width:168.2pt;height:19.6pt;z-index:-251656192;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184" w:lineRule="exact"/>
                      <w:ind w:left="20" w:firstLine="0"/>
                      <w:rPr>
                        <w:rStyle w:val="None"/>
                        <w:rFonts w:ascii="Arial" w:cs="Arial" w:hAnsi="Arial" w:eastAsia="Arial"/>
                        <w:outline w:val="0"/>
                        <w:color w:val="ffffff"/>
                        <w:sz w:val="16"/>
                        <w:szCs w:val="16"/>
                        <w:u w:color="ffffff"/>
                        <w14:textFill>
                          <w14:solidFill>
                            <w14:srgbClr w14:val="FFFFFF"/>
                          </w14:solidFill>
                        </w14:textFill>
                      </w:rPr>
                    </w:pPr>
                    <w:r>
                      <w:rPr>
                        <w:rStyle w:val="None"/>
                        <w:rFonts w:ascii="Arial" w:hAnsi="Arial"/>
                        <w:outline w:val="0"/>
                        <w:color w:val="ffffff"/>
                        <w:sz w:val="16"/>
                        <w:szCs w:val="16"/>
                        <w:u w:color="ffffff"/>
                        <w:rtl w:val="0"/>
                        <w:lang w:val="en-US"/>
                        <w14:textFill>
                          <w14:solidFill>
                            <w14:srgbClr w14:val="FFFFFF"/>
                          </w14:solidFill>
                        </w14:textFill>
                      </w:rPr>
                      <w:t>J Pain Relief</w:t>
                    </w:r>
                  </w:p>
                  <w:p>
                    <w:pPr>
                      <w:pStyle w:val="Body"/>
                      <w:spacing w:before="8"/>
                      <w:ind w:left="20" w:firstLine="0"/>
                    </w:pPr>
                    <w:r>
                      <w:rPr>
                        <w:rStyle w:val="None"/>
                        <w:rFonts w:ascii="Arial" w:hAnsi="Arial"/>
                        <w:outline w:val="0"/>
                        <w:color w:val="ffffff"/>
                        <w:sz w:val="16"/>
                        <w:szCs w:val="16"/>
                        <w:u w:color="ffffff"/>
                        <w:rtl w:val="0"/>
                        <w:lang w:val="en-US"/>
                        <w14:textFill>
                          <w14:solidFill>
                            <w14:srgbClr w14:val="FFFFFF"/>
                          </w14:solidFill>
                        </w14:textFill>
                      </w:rPr>
                      <w:t>ISSN: 2167-0846 JPAR an open access journa</w:t>
                    </w:r>
                  </w:p>
                </w:txbxContent>
              </v:textbox>
              <w10:wrap type="none" side="bothSides" anchorx="page" anchory="page"/>
            </v:shape>
          </w:pict>
        </mc:Fallback>
      </mc:AlternateContent>
    </w:r>
    <w:r>
      <mc:AlternateContent>
        <mc:Choice Requires="wps">
          <w:drawing>
            <wp:anchor distT="152400" distB="152400" distL="152400" distR="152400" simplePos="0" relativeHeight="251661312" behindDoc="1" locked="0" layoutInCell="1" allowOverlap="1">
              <wp:simplePos x="0" y="0"/>
              <wp:positionH relativeFrom="page">
                <wp:posOffset>3201670</wp:posOffset>
              </wp:positionH>
              <wp:positionV relativeFrom="page">
                <wp:posOffset>10147934</wp:posOffset>
              </wp:positionV>
              <wp:extent cx="1167131" cy="316866"/>
              <wp:effectExtent l="0" t="0" r="0" b="0"/>
              <wp:wrapNone/>
              <wp:docPr id="1073741828" name="officeArt object"/>
              <wp:cNvGraphicFramePr/>
              <a:graphic xmlns:a="http://schemas.openxmlformats.org/drawingml/2006/main">
                <a:graphicData uri="http://schemas.microsoft.com/office/word/2010/wordprocessingShape">
                  <wps:wsp>
                    <wps:cNvSpPr txBox="1"/>
                    <wps:spPr>
                      <a:xfrm>
                        <a:off x="0" y="0"/>
                        <a:ext cx="1167131" cy="316866"/>
                      </a:xfrm>
                      <a:prstGeom prst="rect">
                        <a:avLst/>
                      </a:prstGeom>
                      <a:noFill/>
                      <a:ln w="12700" cap="flat">
                        <a:noFill/>
                        <a:miter lim="400000"/>
                      </a:ln>
                      <a:effectLst/>
                    </wps:spPr>
                    <wps:txbx>
                      <w:txbxContent>
                        <w:p>
                          <w:pPr>
                            <w:pStyle w:val="Body"/>
                            <w:spacing w:line="269" w:lineRule="exact"/>
                            <w:jc w:val="center"/>
                            <w:rPr>
                              <w:rStyle w:val="None"/>
                              <w:rFonts w:ascii="Impact" w:cs="Impact" w:hAnsi="Impact" w:eastAsia="Impact"/>
                              <w:outline w:val="0"/>
                              <w:color w:val="ffffff"/>
                              <w:sz w:val="24"/>
                              <w:szCs w:val="24"/>
                              <w:u w:color="ffffff"/>
                              <w14:textFill>
                                <w14:solidFill>
                                  <w14:srgbClr w14:val="FFFFFF"/>
                                </w14:solidFill>
                              </w14:textFill>
                            </w:rPr>
                          </w:pPr>
                          <w:r>
                            <w:rPr>
                              <w:rStyle w:val="None"/>
                              <w:rFonts w:ascii="Impact" w:hAnsi="Impact"/>
                              <w:outline w:val="0"/>
                              <w:color w:val="ffffff"/>
                              <w:sz w:val="24"/>
                              <w:szCs w:val="24"/>
                              <w:u w:color="ffffff"/>
                              <w:rtl w:val="0"/>
                              <w14:textFill>
                                <w14:solidFill>
                                  <w14:srgbClr w14:val="FFFFFF"/>
                                </w14:solidFill>
                              </w14:textFill>
                            </w:rPr>
                            <w:t>Fibromyalgia 2016</w:t>
                          </w:r>
                        </w:p>
                        <w:p>
                          <w:pPr>
                            <w:pStyle w:val="Body"/>
                            <w:spacing w:before="29"/>
                            <w:jc w:val="center"/>
                          </w:pPr>
                          <w:r>
                            <w:rPr>
                              <w:rStyle w:val="None"/>
                              <w:rFonts w:ascii="Arial" w:hAnsi="Arial"/>
                              <w:outline w:val="0"/>
                              <w:color w:val="ffffff"/>
                              <w:sz w:val="16"/>
                              <w:szCs w:val="16"/>
                              <w:u w:color="ffffff"/>
                              <w:rtl w:val="0"/>
                              <w:lang w:val="en-US"/>
                              <w14:textFill>
                                <w14:solidFill>
                                  <w14:srgbClr w14:val="FFFFFF"/>
                                </w14:solidFill>
                              </w14:textFill>
                            </w:rPr>
                            <w:t>June 15-16, 2016</w:t>
                          </w:r>
                        </w:p>
                      </w:txbxContent>
                    </wps:txbx>
                    <wps:bodyPr wrap="square" lIns="0" tIns="0" rIns="0" bIns="0" numCol="1" anchor="t">
                      <a:noAutofit/>
                    </wps:bodyPr>
                  </wps:wsp>
                </a:graphicData>
              </a:graphic>
            </wp:anchor>
          </w:drawing>
        </mc:Choice>
        <mc:Fallback>
          <w:pict>
            <v:shape id="_x0000_s1034" type="#_x0000_t202" style="visibility:visible;position:absolute;margin-left:252.1pt;margin-top:799.0pt;width:91.9pt;height:25.0pt;z-index:-25165516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269" w:lineRule="exact"/>
                      <w:jc w:val="center"/>
                      <w:rPr>
                        <w:rStyle w:val="None"/>
                        <w:rFonts w:ascii="Impact" w:cs="Impact" w:hAnsi="Impact" w:eastAsia="Impact"/>
                        <w:outline w:val="0"/>
                        <w:color w:val="ffffff"/>
                        <w:sz w:val="24"/>
                        <w:szCs w:val="24"/>
                        <w:u w:color="ffffff"/>
                        <w14:textFill>
                          <w14:solidFill>
                            <w14:srgbClr w14:val="FFFFFF"/>
                          </w14:solidFill>
                        </w14:textFill>
                      </w:rPr>
                    </w:pPr>
                    <w:r>
                      <w:rPr>
                        <w:rStyle w:val="None"/>
                        <w:rFonts w:ascii="Impact" w:hAnsi="Impact"/>
                        <w:outline w:val="0"/>
                        <w:color w:val="ffffff"/>
                        <w:sz w:val="24"/>
                        <w:szCs w:val="24"/>
                        <w:u w:color="ffffff"/>
                        <w:rtl w:val="0"/>
                        <w14:textFill>
                          <w14:solidFill>
                            <w14:srgbClr w14:val="FFFFFF"/>
                          </w14:solidFill>
                        </w14:textFill>
                      </w:rPr>
                      <w:t>Fibromyalgia 2016</w:t>
                    </w:r>
                  </w:p>
                  <w:p>
                    <w:pPr>
                      <w:pStyle w:val="Body"/>
                      <w:spacing w:before="29"/>
                      <w:jc w:val="center"/>
                    </w:pPr>
                    <w:r>
                      <w:rPr>
                        <w:rStyle w:val="None"/>
                        <w:rFonts w:ascii="Arial" w:hAnsi="Arial"/>
                        <w:outline w:val="0"/>
                        <w:color w:val="ffffff"/>
                        <w:sz w:val="16"/>
                        <w:szCs w:val="16"/>
                        <w:u w:color="ffffff"/>
                        <w:rtl w:val="0"/>
                        <w:lang w:val="en-US"/>
                        <w14:textFill>
                          <w14:solidFill>
                            <w14:srgbClr w14:val="FFFFFF"/>
                          </w14:solidFill>
                        </w14:textFill>
                      </w:rPr>
                      <w:t>June 15-16, 2016</w:t>
                    </w:r>
                  </w:p>
                </w:txbxContent>
              </v:textbox>
              <w10:wrap type="none" side="bothSides" anchorx="page" anchory="page"/>
            </v:shape>
          </w:pict>
        </mc:Fallback>
      </mc:AlternateContent>
    </w:r>
    <w:r>
      <mc:AlternateContent>
        <mc:Choice Requires="wps">
          <w:drawing>
            <wp:anchor distT="152400" distB="152400" distL="152400" distR="152400" simplePos="0" relativeHeight="251662336" behindDoc="1" locked="0" layoutInCell="1" allowOverlap="1">
              <wp:simplePos x="0" y="0"/>
              <wp:positionH relativeFrom="page">
                <wp:posOffset>5955029</wp:posOffset>
              </wp:positionH>
              <wp:positionV relativeFrom="page">
                <wp:posOffset>10144759</wp:posOffset>
              </wp:positionV>
              <wp:extent cx="1160780" cy="330835"/>
              <wp:effectExtent l="0" t="0" r="0" b="0"/>
              <wp:wrapNone/>
              <wp:docPr id="1073741829" name="officeArt object"/>
              <wp:cNvGraphicFramePr/>
              <a:graphic xmlns:a="http://schemas.openxmlformats.org/drawingml/2006/main">
                <a:graphicData uri="http://schemas.microsoft.com/office/word/2010/wordprocessingShape">
                  <wps:wsp>
                    <wps:cNvSpPr txBox="1"/>
                    <wps:spPr>
                      <a:xfrm>
                        <a:off x="0" y="0"/>
                        <a:ext cx="1160780" cy="330835"/>
                      </a:xfrm>
                      <a:prstGeom prst="rect">
                        <a:avLst/>
                      </a:prstGeom>
                      <a:noFill/>
                      <a:ln w="12700" cap="flat">
                        <a:noFill/>
                        <a:miter lim="400000"/>
                      </a:ln>
                      <a:effectLst/>
                    </wps:spPr>
                    <wps:txbx>
                      <w:txbxContent>
                        <w:p>
                          <w:pPr>
                            <w:pStyle w:val="Body"/>
                            <w:spacing w:line="184" w:lineRule="exact"/>
                            <w:ind w:right="18"/>
                            <w:jc w:val="right"/>
                            <w:rPr>
                              <w:rStyle w:val="None"/>
                              <w:rFonts w:ascii="Arial" w:cs="Arial" w:hAnsi="Arial" w:eastAsia="Arial"/>
                              <w:outline w:val="0"/>
                              <w:color w:val="ffffff"/>
                              <w:sz w:val="16"/>
                              <w:szCs w:val="16"/>
                              <w:u w:color="ffffff"/>
                              <w14:textFill>
                                <w14:solidFill>
                                  <w14:srgbClr w14:val="FFFFFF"/>
                                </w14:solidFill>
                              </w14:textFill>
                            </w:rPr>
                          </w:pPr>
                          <w:r>
                            <w:rPr>
                              <w:rStyle w:val="None"/>
                              <w:rFonts w:ascii="Arial" w:hAnsi="Arial"/>
                              <w:outline w:val="0"/>
                              <w:color w:val="ffffff"/>
                              <w:sz w:val="16"/>
                              <w:szCs w:val="16"/>
                              <w:u w:color="ffffff"/>
                              <w:rtl w:val="0"/>
                              <w:lang w:val="en-US"/>
                              <w14:textFill>
                                <w14:solidFill>
                                  <w14:srgbClr w14:val="FFFFFF"/>
                                </w14:solidFill>
                              </w14:textFill>
                            </w:rPr>
                            <w:t>Volume 5, Issue 3(Suppl)</w:t>
                          </w:r>
                        </w:p>
                        <w:p>
                          <w:pPr>
                            <w:pStyle w:val="Body"/>
                            <w:spacing w:before="116"/>
                            <w:ind w:right="18"/>
                            <w:jc w:val="right"/>
                          </w:pPr>
                          <w:r>
                            <w:rPr>
                              <w:rStyle w:val="None"/>
                              <w:rFonts w:ascii="Minion Pro" w:cs="Minion Pro" w:hAnsi="Minion Pro" w:eastAsia="Minion Pro"/>
                              <w:outline w:val="0"/>
                              <w:color w:val="ffffff"/>
                              <w:sz w:val="16"/>
                              <w:szCs w:val="16"/>
                              <w:u w:color="ffffff"/>
                              <w:rtl w:val="0"/>
                              <w:lang w:val="da-DK"/>
                              <w14:textFill>
                                <w14:solidFill>
                                  <w14:srgbClr w14:val="FFFFFF"/>
                                </w14:solidFill>
                              </w14:textFill>
                            </w:rPr>
                            <w:t>Page 40</w:t>
                          </w:r>
                        </w:p>
                      </w:txbxContent>
                    </wps:txbx>
                    <wps:bodyPr wrap="square" lIns="0" tIns="0" rIns="0" bIns="0" numCol="1" anchor="t">
                      <a:noAutofit/>
                    </wps:bodyPr>
                  </wps:wsp>
                </a:graphicData>
              </a:graphic>
            </wp:anchor>
          </w:drawing>
        </mc:Choice>
        <mc:Fallback>
          <w:pict>
            <v:shape id="_x0000_s1035" type="#_x0000_t202" style="visibility:visible;position:absolute;margin-left:468.9pt;margin-top:798.8pt;width:91.4pt;height:26.0pt;z-index:-25165414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184" w:lineRule="exact"/>
                      <w:ind w:right="18"/>
                      <w:jc w:val="right"/>
                      <w:rPr>
                        <w:rStyle w:val="None"/>
                        <w:rFonts w:ascii="Arial" w:cs="Arial" w:hAnsi="Arial" w:eastAsia="Arial"/>
                        <w:outline w:val="0"/>
                        <w:color w:val="ffffff"/>
                        <w:sz w:val="16"/>
                        <w:szCs w:val="16"/>
                        <w:u w:color="ffffff"/>
                        <w14:textFill>
                          <w14:solidFill>
                            <w14:srgbClr w14:val="FFFFFF"/>
                          </w14:solidFill>
                        </w14:textFill>
                      </w:rPr>
                    </w:pPr>
                    <w:r>
                      <w:rPr>
                        <w:rStyle w:val="None"/>
                        <w:rFonts w:ascii="Arial" w:hAnsi="Arial"/>
                        <w:outline w:val="0"/>
                        <w:color w:val="ffffff"/>
                        <w:sz w:val="16"/>
                        <w:szCs w:val="16"/>
                        <w:u w:color="ffffff"/>
                        <w:rtl w:val="0"/>
                        <w:lang w:val="en-US"/>
                        <w14:textFill>
                          <w14:solidFill>
                            <w14:srgbClr w14:val="FFFFFF"/>
                          </w14:solidFill>
                        </w14:textFill>
                      </w:rPr>
                      <w:t>Volume 5, Issue 3(Suppl)</w:t>
                    </w:r>
                  </w:p>
                  <w:p>
                    <w:pPr>
                      <w:pStyle w:val="Body"/>
                      <w:spacing w:before="116"/>
                      <w:ind w:right="18"/>
                      <w:jc w:val="right"/>
                    </w:pPr>
                    <w:r>
                      <w:rPr>
                        <w:rStyle w:val="None"/>
                        <w:rFonts w:ascii="Minion Pro" w:cs="Minion Pro" w:hAnsi="Minion Pro" w:eastAsia="Minion Pro"/>
                        <w:outline w:val="0"/>
                        <w:color w:val="ffffff"/>
                        <w:sz w:val="16"/>
                        <w:szCs w:val="16"/>
                        <w:u w:color="ffffff"/>
                        <w:rtl w:val="0"/>
                        <w:lang w:val="da-DK"/>
                        <w14:textFill>
                          <w14:solidFill>
                            <w14:srgbClr w14:val="FFFFFF"/>
                          </w14:solidFill>
                        </w14:textFill>
                      </w:rPr>
                      <w:t>Page 40</w:t>
                    </w:r>
                  </w:p>
                </w:txbxContent>
              </v:textbox>
              <w10:wrap type="none" side="bothSides" anchorx="page" anchory="page"/>
            </v:shape>
          </w:pict>
        </mc:Fallback>
      </mc:AlternateContent>
    </w: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Text">
    <w:name w:val="Body Text"/>
    <w:next w:val="Body Text"/>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Arial Unicode MS" w:hAnsi="Tw Cen MT" w:eastAsia="Arial Unicode MS"/>
      <w:b w:val="0"/>
      <w:bCs w:val="0"/>
      <w:i w:val="0"/>
      <w:iCs w:val="0"/>
      <w:caps w:val="0"/>
      <w:smallCaps w:val="0"/>
      <w:strike w:val="0"/>
      <w:dstrike w:val="0"/>
      <w:outline w:val="0"/>
      <w:color w:val="000000"/>
      <w:spacing w:val="0"/>
      <w:kern w:val="0"/>
      <w:position w:val="0"/>
      <w:sz w:val="18"/>
      <w:szCs w:val="18"/>
      <w:u w:val="none" w:color="000000"/>
      <w:vertAlign w:val="baseline"/>
      <w:lang w:val="en-US"/>
      <w14:textFill>
        <w14:solidFill>
          <w14:srgbClr w14:val="000000"/>
        </w14:solidFill>
      </w14:textFill>
    </w:rPr>
  </w:style>
  <w:style w:type="paragraph" w:styleId="Body">
    <w:name w:val="Body"/>
    <w:next w:val="Body"/>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Arial Unicode MS" w:hAnsi="Tw Cen MT" w:eastAsia="Arial Unicode MS"/>
      <w:b w:val="0"/>
      <w:bCs w:val="0"/>
      <w:i w:val="0"/>
      <w:iCs w:val="0"/>
      <w:caps w:val="0"/>
      <w:smallCaps w:val="0"/>
      <w:strike w:val="0"/>
      <w:dstrike w:val="0"/>
      <w:outline w:val="0"/>
      <w:color w:val="000000"/>
      <w:spacing w:val="0"/>
      <w:kern w:val="0"/>
      <w:position w:val="0"/>
      <w:sz w:val="22"/>
      <w:szCs w:val="22"/>
      <w:u w:val="none" w:color="000000"/>
      <w:vertAlign w:val="baseline"/>
      <w14:textOutline>
        <w14:noFill/>
      </w14:textOutline>
      <w14:textFill>
        <w14:solidFill>
          <w14:srgbClr w14:val="000000"/>
        </w14:solidFill>
      </w14:textFill>
    </w:rPr>
  </w:style>
  <w:style w:type="character" w:styleId="None">
    <w:name w:val="None"/>
  </w:style>
  <w:style w:type="character" w:styleId="Hyperlink.0">
    <w:name w:val="Hyperlink.0"/>
    <w:basedOn w:val="None"/>
    <w:next w:val="Hyperlink.0"/>
    <w:rPr>
      <w:rFonts w:ascii="Arial" w:cs="Arial" w:hAnsi="Arial" w:eastAsia="Arial"/>
      <w:outline w:val="0"/>
      <w:color w:val="ffffff"/>
      <w:sz w:val="14"/>
      <w:szCs w:val="14"/>
      <w:u w:color="ffffff"/>
      <w14:textFill>
        <w14:solidFill>
          <w14:srgbClr w14:val="FFFFFF"/>
        </w14:solidFill>
      </w14:textFill>
    </w:rPr>
  </w:style>
  <w:style w:type="paragraph" w:styleId="Heading 3">
    <w:name w:val="Heading 3"/>
    <w:next w:val="Heading 3"/>
    <w:pPr>
      <w:keepNext w:val="0"/>
      <w:keepLines w:val="0"/>
      <w:pageBreakBefore w:val="0"/>
      <w:widowControl w:val="0"/>
      <w:shd w:val="clear" w:color="auto" w:fill="auto"/>
      <w:suppressAutoHyphens w:val="0"/>
      <w:bidi w:val="0"/>
      <w:spacing w:before="0" w:after="0" w:line="240" w:lineRule="auto"/>
      <w:ind w:left="100" w:right="0" w:firstLine="0"/>
      <w:jc w:val="left"/>
      <w:outlineLvl w:val="2"/>
    </w:pPr>
    <w:rPr>
      <w:rFonts w:ascii="Arial" w:cs="Arial Unicode MS" w:hAnsi="Arial" w:eastAsia="Arial Unicode MS"/>
      <w:b w:val="1"/>
      <w:bCs w:val="1"/>
      <w:i w:val="0"/>
      <w:iCs w:val="0"/>
      <w:caps w:val="0"/>
      <w:smallCaps w:val="0"/>
      <w:strike w:val="0"/>
      <w:dstrike w:val="0"/>
      <w:outline w:val="0"/>
      <w:color w:val="000000"/>
      <w:spacing w:val="0"/>
      <w:kern w:val="0"/>
      <w:position w:val="0"/>
      <w:sz w:val="20"/>
      <w:szCs w:val="20"/>
      <w:u w:val="none" w:color="000000"/>
      <w:vertAlign w:val="baseline"/>
      <w:lang w:val="fr-FR"/>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