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EEA92" w14:textId="77777777" w:rsidR="007D11F0" w:rsidRDefault="007D11F0" w:rsidP="00473D95">
      <w:pPr>
        <w:pStyle w:val="Heading4"/>
        <w:shd w:val="clear" w:color="auto" w:fill="FFFFFF"/>
        <w:spacing w:before="0" w:beforeAutospacing="0" w:after="0" w:afterAutospacing="0"/>
        <w:jc w:val="both"/>
        <w:rPr>
          <w:rFonts w:asciiTheme="majorBidi" w:eastAsia="BookAntiqua" w:hAnsiTheme="majorBidi" w:cstheme="majorBidi"/>
        </w:rPr>
      </w:pPr>
      <w:r>
        <w:rPr>
          <w:rFonts w:asciiTheme="majorBidi" w:eastAsia="BookAntiqua" w:hAnsiTheme="majorBidi" w:cstheme="majorBidi"/>
        </w:rPr>
        <w:t>Nanoparticle Drug Delivery Systems of Thymoquinone Enhance its Anticancer Activity and Delivery to Breast Cancer Cells</w:t>
      </w:r>
    </w:p>
    <w:p w14:paraId="4BEC137C" w14:textId="77777777" w:rsidR="007D11F0" w:rsidRDefault="007D11F0" w:rsidP="00473D95">
      <w:pPr>
        <w:pStyle w:val="Heading4"/>
        <w:shd w:val="clear" w:color="auto" w:fill="FFFFFF"/>
        <w:spacing w:before="0" w:beforeAutospacing="0" w:after="0" w:afterAutospacing="0"/>
        <w:jc w:val="both"/>
        <w:rPr>
          <w:rFonts w:asciiTheme="majorBidi" w:eastAsia="BookAntiqua" w:hAnsiTheme="majorBidi" w:cstheme="majorBidi"/>
        </w:rPr>
      </w:pPr>
    </w:p>
    <w:p w14:paraId="7CEDAD9D" w14:textId="587998E9" w:rsidR="007D11F0" w:rsidRDefault="007D11F0" w:rsidP="00473D95">
      <w:pPr>
        <w:pStyle w:val="Heading4"/>
        <w:shd w:val="clear" w:color="auto" w:fill="FFFFFF"/>
        <w:spacing w:before="0" w:beforeAutospacing="0" w:after="0" w:afterAutospacing="0"/>
        <w:jc w:val="both"/>
        <w:rPr>
          <w:rFonts w:asciiTheme="majorBidi" w:eastAsia="BookAntiqua" w:hAnsiTheme="majorBidi" w:cstheme="majorBidi"/>
        </w:rPr>
      </w:pPr>
      <w:r>
        <w:rPr>
          <w:rFonts w:asciiTheme="majorBidi" w:eastAsia="BookAntiqua" w:hAnsiTheme="majorBidi" w:cstheme="majorBidi"/>
        </w:rPr>
        <w:t>Hala Gali-Muhtasib</w:t>
      </w:r>
    </w:p>
    <w:p w14:paraId="6CBE77C3" w14:textId="77777777" w:rsidR="007D11F0" w:rsidRDefault="007D11F0" w:rsidP="00473D95">
      <w:pPr>
        <w:pStyle w:val="Heading4"/>
        <w:shd w:val="clear" w:color="auto" w:fill="FFFFFF"/>
        <w:spacing w:before="0" w:beforeAutospacing="0" w:after="0" w:afterAutospacing="0"/>
        <w:jc w:val="both"/>
        <w:rPr>
          <w:rFonts w:asciiTheme="majorBidi" w:eastAsia="BookAntiqua" w:hAnsiTheme="majorBidi" w:cstheme="majorBidi"/>
        </w:rPr>
      </w:pPr>
    </w:p>
    <w:p w14:paraId="541ECB9C" w14:textId="3B3EA14A" w:rsidR="00F25BE9" w:rsidRPr="006E35D7" w:rsidRDefault="00F25BE9" w:rsidP="00473D95">
      <w:pPr>
        <w:pStyle w:val="Heading4"/>
        <w:shd w:val="clear" w:color="auto" w:fill="FFFFFF"/>
        <w:spacing w:before="0" w:beforeAutospacing="0" w:after="0" w:afterAutospacing="0"/>
        <w:jc w:val="both"/>
        <w:rPr>
          <w:rFonts w:asciiTheme="majorBidi" w:eastAsia="BookAntiqua" w:hAnsiTheme="majorBidi" w:cstheme="majorBidi"/>
        </w:rPr>
      </w:pPr>
      <w:r w:rsidRPr="006E35D7">
        <w:rPr>
          <w:rFonts w:asciiTheme="majorBidi" w:eastAsia="BookAntiqua" w:hAnsiTheme="majorBidi" w:cstheme="majorBidi"/>
        </w:rPr>
        <w:t xml:space="preserve">Abstract </w:t>
      </w:r>
    </w:p>
    <w:p w14:paraId="6E31F42F" w14:textId="77777777" w:rsidR="00F25BE9" w:rsidRPr="006E35D7" w:rsidRDefault="00F25BE9" w:rsidP="00473D95">
      <w:pPr>
        <w:pStyle w:val="Heading4"/>
        <w:shd w:val="clear" w:color="auto" w:fill="FFFFFF"/>
        <w:spacing w:before="0" w:beforeAutospacing="0" w:after="0" w:afterAutospacing="0"/>
        <w:jc w:val="both"/>
        <w:rPr>
          <w:rFonts w:asciiTheme="majorBidi" w:eastAsia="BookAntiqua" w:hAnsiTheme="majorBidi" w:cstheme="majorBidi"/>
          <w:b w:val="0"/>
          <w:bCs w:val="0"/>
        </w:rPr>
      </w:pPr>
    </w:p>
    <w:p w14:paraId="15545CDA" w14:textId="4D6CFDE9" w:rsidR="001E5AA3" w:rsidRPr="006E35D7" w:rsidRDefault="007E5D67" w:rsidP="00473D95">
      <w:pPr>
        <w:pStyle w:val="Heading4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b w:val="0"/>
          <w:bCs w:val="0"/>
          <w:i/>
          <w:iCs/>
          <w:color w:val="000000"/>
        </w:rPr>
      </w:pPr>
      <w:r w:rsidRPr="006E35D7">
        <w:rPr>
          <w:rFonts w:asciiTheme="majorBidi" w:eastAsia="BookAntiqua" w:hAnsiTheme="majorBidi" w:cstheme="majorBidi"/>
          <w:b w:val="0"/>
          <w:bCs w:val="0"/>
        </w:rPr>
        <w:t xml:space="preserve">Thymoquinone (TQ), the main bioactive constituent of </w:t>
      </w:r>
      <w:r w:rsidRPr="006E35D7">
        <w:rPr>
          <w:rFonts w:asciiTheme="majorBidi" w:eastAsia="BookAntiqua" w:hAnsiTheme="majorBidi" w:cstheme="majorBidi"/>
          <w:b w:val="0"/>
          <w:bCs w:val="0"/>
          <w:i/>
          <w:iCs/>
        </w:rPr>
        <w:t xml:space="preserve">Nigella sativa, </w:t>
      </w:r>
      <w:r w:rsidR="00D71556" w:rsidRPr="006E35D7">
        <w:rPr>
          <w:rFonts w:asciiTheme="majorBidi" w:eastAsia="BookAntiqua" w:hAnsiTheme="majorBidi" w:cstheme="majorBidi"/>
          <w:b w:val="0"/>
          <w:bCs w:val="0"/>
        </w:rPr>
        <w:t>has gained</w:t>
      </w:r>
      <w:r w:rsidR="003879E7" w:rsidRPr="006E35D7">
        <w:rPr>
          <w:rFonts w:asciiTheme="majorBidi" w:eastAsia="BookAntiqua" w:hAnsiTheme="majorBidi" w:cstheme="majorBidi"/>
          <w:b w:val="0"/>
          <w:bCs w:val="0"/>
        </w:rPr>
        <w:t xml:space="preserve"> considerable attention in cancer therapy </w:t>
      </w:r>
      <w:r w:rsidR="00C820F1" w:rsidRPr="006E35D7">
        <w:rPr>
          <w:rFonts w:asciiTheme="majorBidi" w:eastAsia="BookAntiqua" w:hAnsiTheme="majorBidi" w:cstheme="majorBidi"/>
          <w:b w:val="0"/>
          <w:bCs w:val="0"/>
        </w:rPr>
        <w:t xml:space="preserve">over the last decade. </w:t>
      </w:r>
      <w:r w:rsidR="00AA65C9">
        <w:rPr>
          <w:rFonts w:asciiTheme="majorBidi" w:eastAsia="BookAntiqua" w:hAnsiTheme="majorBidi" w:cstheme="majorBidi"/>
          <w:b w:val="0"/>
          <w:bCs w:val="0"/>
        </w:rPr>
        <w:t xml:space="preserve">We have shown that </w:t>
      </w:r>
      <w:r w:rsidR="00C820F1" w:rsidRPr="006E35D7">
        <w:rPr>
          <w:rFonts w:asciiTheme="majorBidi" w:eastAsia="BookAntiqua" w:hAnsiTheme="majorBidi" w:cstheme="majorBidi"/>
          <w:b w:val="0"/>
          <w:bCs w:val="0"/>
        </w:rPr>
        <w:t xml:space="preserve">TQ </w:t>
      </w:r>
      <w:r w:rsidR="00AA65C9">
        <w:rPr>
          <w:rFonts w:asciiTheme="majorBidi" w:eastAsia="BookAntiqua" w:hAnsiTheme="majorBidi" w:cstheme="majorBidi"/>
          <w:b w:val="0"/>
          <w:bCs w:val="0"/>
        </w:rPr>
        <w:t>has</w:t>
      </w:r>
      <w:r w:rsidR="00C820F1" w:rsidRPr="006E35D7">
        <w:rPr>
          <w:rFonts w:asciiTheme="majorBidi" w:eastAsia="BookAntiqua" w:hAnsiTheme="majorBidi" w:cstheme="majorBidi"/>
          <w:b w:val="0"/>
          <w:bCs w:val="0"/>
        </w:rPr>
        <w:t xml:space="preserve"> a</w:t>
      </w:r>
      <w:r w:rsidRPr="006E35D7">
        <w:rPr>
          <w:rFonts w:asciiTheme="majorBidi" w:eastAsia="BookAntiqua" w:hAnsiTheme="majorBidi" w:cstheme="majorBidi"/>
          <w:b w:val="0"/>
          <w:bCs w:val="0"/>
        </w:rPr>
        <w:t xml:space="preserve"> </w:t>
      </w:r>
      <w:r w:rsidR="00D71556" w:rsidRPr="006E35D7">
        <w:rPr>
          <w:rFonts w:asciiTheme="majorBidi" w:eastAsia="BookAntiqua" w:hAnsiTheme="majorBidi" w:cstheme="majorBidi"/>
          <w:b w:val="0"/>
          <w:bCs w:val="0"/>
        </w:rPr>
        <w:t>safe profile</w:t>
      </w:r>
      <w:r w:rsidR="00E72B27">
        <w:rPr>
          <w:rFonts w:asciiTheme="majorBidi" w:eastAsia="BookAntiqua" w:hAnsiTheme="majorBidi" w:cstheme="majorBidi"/>
          <w:b w:val="0"/>
          <w:bCs w:val="0"/>
        </w:rPr>
        <w:t xml:space="preserve"> and </w:t>
      </w:r>
      <w:r w:rsidR="00C820F1" w:rsidRPr="006E35D7">
        <w:rPr>
          <w:rFonts w:asciiTheme="majorBidi" w:eastAsia="BookAntiqua" w:hAnsiTheme="majorBidi" w:cstheme="majorBidi"/>
          <w:b w:val="0"/>
          <w:bCs w:val="0"/>
        </w:rPr>
        <w:t xml:space="preserve">a </w:t>
      </w:r>
      <w:r w:rsidRPr="006E35D7">
        <w:rPr>
          <w:rFonts w:asciiTheme="majorBidi" w:eastAsia="BookAntiqua" w:hAnsiTheme="majorBidi" w:cstheme="majorBidi"/>
          <w:b w:val="0"/>
          <w:bCs w:val="0"/>
        </w:rPr>
        <w:t xml:space="preserve">remarkable anticancer </w:t>
      </w:r>
      <w:r w:rsidR="00D71556" w:rsidRPr="006E35D7">
        <w:rPr>
          <w:rFonts w:asciiTheme="majorBidi" w:eastAsia="BookAntiqua" w:hAnsiTheme="majorBidi" w:cstheme="majorBidi"/>
          <w:b w:val="0"/>
          <w:bCs w:val="0"/>
        </w:rPr>
        <w:t>potential</w:t>
      </w:r>
      <w:r w:rsidRPr="006E35D7">
        <w:rPr>
          <w:rFonts w:asciiTheme="majorBidi" w:eastAsia="BookAntiqua" w:hAnsiTheme="majorBidi" w:cstheme="majorBidi"/>
          <w:b w:val="0"/>
          <w:bCs w:val="0"/>
        </w:rPr>
        <w:t xml:space="preserve"> </w:t>
      </w:r>
      <w:r w:rsidR="007A6A80" w:rsidRPr="006E35D7">
        <w:rPr>
          <w:rFonts w:asciiTheme="majorBidi" w:eastAsia="BookAntiqua" w:hAnsiTheme="majorBidi" w:cstheme="majorBidi"/>
          <w:b w:val="0"/>
          <w:bCs w:val="0"/>
        </w:rPr>
        <w:t>against a wide range of cancer types</w:t>
      </w:r>
      <w:r w:rsidR="00E72B27">
        <w:rPr>
          <w:rFonts w:asciiTheme="majorBidi" w:eastAsia="BookAntiqua" w:hAnsiTheme="majorBidi" w:cstheme="majorBidi"/>
          <w:b w:val="0"/>
          <w:bCs w:val="0"/>
        </w:rPr>
        <w:t xml:space="preserve">. </w:t>
      </w:r>
      <w:r w:rsidR="00AA65C9">
        <w:rPr>
          <w:rFonts w:asciiTheme="majorBidi" w:eastAsia="BookAntiqua" w:hAnsiTheme="majorBidi" w:cstheme="majorBidi"/>
          <w:b w:val="0"/>
          <w:bCs w:val="0"/>
        </w:rPr>
        <w:t xml:space="preserve">Recent data from our lab demonstrated that </w:t>
      </w:r>
      <w:r w:rsidR="00E72B27">
        <w:rPr>
          <w:rFonts w:asciiTheme="majorBidi" w:eastAsia="BookAntiqua" w:hAnsiTheme="majorBidi" w:cstheme="majorBidi"/>
          <w:b w:val="0"/>
          <w:bCs w:val="0"/>
        </w:rPr>
        <w:t xml:space="preserve">TQ effectively </w:t>
      </w:r>
      <w:r w:rsidRPr="006E35D7">
        <w:rPr>
          <w:rFonts w:asciiTheme="majorBidi" w:eastAsia="BookAntiqua" w:hAnsiTheme="majorBidi" w:cstheme="majorBidi"/>
          <w:b w:val="0"/>
          <w:bCs w:val="0"/>
        </w:rPr>
        <w:t>target</w:t>
      </w:r>
      <w:r w:rsidR="00AA65C9">
        <w:rPr>
          <w:rFonts w:asciiTheme="majorBidi" w:eastAsia="BookAntiqua" w:hAnsiTheme="majorBidi" w:cstheme="majorBidi"/>
          <w:b w:val="0"/>
          <w:bCs w:val="0"/>
        </w:rPr>
        <w:t>ed</w:t>
      </w:r>
      <w:r w:rsidRPr="006E35D7">
        <w:rPr>
          <w:rFonts w:asciiTheme="majorBidi" w:eastAsia="BookAntiqua" w:hAnsiTheme="majorBidi" w:cstheme="majorBidi"/>
          <w:b w:val="0"/>
          <w:bCs w:val="0"/>
        </w:rPr>
        <w:t xml:space="preserve"> </w:t>
      </w:r>
      <w:proofErr w:type="spellStart"/>
      <w:r w:rsidRPr="006E35D7">
        <w:rPr>
          <w:rFonts w:asciiTheme="majorBidi" w:eastAsia="BookAntiqua" w:hAnsiTheme="majorBidi" w:cstheme="majorBidi"/>
          <w:b w:val="0"/>
          <w:bCs w:val="0"/>
        </w:rPr>
        <w:t>chemoresistant</w:t>
      </w:r>
      <w:proofErr w:type="spellEnd"/>
      <w:r w:rsidRPr="006E35D7">
        <w:rPr>
          <w:rFonts w:asciiTheme="majorBidi" w:eastAsia="BookAntiqua" w:hAnsiTheme="majorBidi" w:cstheme="majorBidi"/>
          <w:b w:val="0"/>
          <w:bCs w:val="0"/>
        </w:rPr>
        <w:t xml:space="preserve"> </w:t>
      </w:r>
      <w:r w:rsidR="00C820F1" w:rsidRPr="006E35D7">
        <w:rPr>
          <w:rFonts w:asciiTheme="majorBidi" w:eastAsia="BookAntiqua" w:hAnsiTheme="majorBidi" w:cstheme="majorBidi"/>
          <w:b w:val="0"/>
          <w:bCs w:val="0"/>
        </w:rPr>
        <w:t>cancer stem cells known to be associated with treatment failure and cancer relapse</w:t>
      </w:r>
      <w:r w:rsidR="00DF5802">
        <w:rPr>
          <w:rFonts w:asciiTheme="majorBidi" w:eastAsia="BookAntiqua" w:hAnsiTheme="majorBidi" w:cstheme="majorBidi"/>
          <w:b w:val="0"/>
          <w:bCs w:val="0"/>
        </w:rPr>
        <w:t>. TQ was also</w:t>
      </w:r>
      <w:r w:rsidR="00AA65C9">
        <w:rPr>
          <w:rFonts w:asciiTheme="majorBidi" w:hAnsiTheme="majorBidi" w:cstheme="majorBidi"/>
          <w:b w:val="0"/>
          <w:bCs w:val="0"/>
          <w:color w:val="222222"/>
          <w:shd w:val="clear" w:color="auto" w:fill="FFFFFF"/>
        </w:rPr>
        <w:t xml:space="preserve"> able </w:t>
      </w:r>
      <w:r w:rsidR="00473D95" w:rsidRPr="006E35D7">
        <w:rPr>
          <w:rFonts w:asciiTheme="majorBidi" w:hAnsiTheme="majorBidi" w:cstheme="majorBidi"/>
          <w:b w:val="0"/>
          <w:bCs w:val="0"/>
          <w:color w:val="222222"/>
          <w:shd w:val="clear" w:color="auto" w:fill="FFFFFF"/>
        </w:rPr>
        <w:t xml:space="preserve">to </w:t>
      </w:r>
      <w:proofErr w:type="spellStart"/>
      <w:r w:rsidR="00E301DC" w:rsidRPr="006E35D7">
        <w:rPr>
          <w:rFonts w:asciiTheme="majorBidi" w:hAnsiTheme="majorBidi" w:cstheme="majorBidi"/>
          <w:b w:val="0"/>
          <w:bCs w:val="0"/>
          <w:color w:val="222222"/>
          <w:shd w:val="clear" w:color="auto" w:fill="FFFFFF"/>
        </w:rPr>
        <w:t>radiosensitize</w:t>
      </w:r>
      <w:proofErr w:type="spellEnd"/>
      <w:r w:rsidR="00E301DC" w:rsidRPr="006E35D7">
        <w:rPr>
          <w:rFonts w:asciiTheme="majorBidi" w:hAnsiTheme="majorBidi" w:cstheme="majorBidi"/>
          <w:b w:val="0"/>
          <w:bCs w:val="0"/>
          <w:color w:val="222222"/>
          <w:shd w:val="clear" w:color="auto" w:fill="FFFFFF"/>
        </w:rPr>
        <w:t xml:space="preserve"> </w:t>
      </w:r>
      <w:r w:rsidR="00473D95" w:rsidRPr="006E35D7">
        <w:rPr>
          <w:rFonts w:asciiTheme="majorBidi" w:eastAsia="BookAntiqua" w:hAnsiTheme="majorBidi" w:cstheme="majorBidi"/>
          <w:b w:val="0"/>
          <w:bCs w:val="0"/>
        </w:rPr>
        <w:t>cancer stem cells</w:t>
      </w:r>
      <w:r w:rsidR="00E301DC" w:rsidRPr="006E35D7">
        <w:rPr>
          <w:rFonts w:asciiTheme="majorBidi" w:hAnsiTheme="majorBidi" w:cstheme="majorBidi"/>
          <w:b w:val="0"/>
          <w:bCs w:val="0"/>
          <w:color w:val="222222"/>
          <w:shd w:val="clear" w:color="auto" w:fill="FFFFFF"/>
        </w:rPr>
        <w:t xml:space="preserve"> enriched from </w:t>
      </w:r>
      <w:r w:rsidR="00473D95" w:rsidRPr="006E35D7">
        <w:rPr>
          <w:rFonts w:asciiTheme="majorBidi" w:hAnsiTheme="majorBidi" w:cstheme="majorBidi"/>
          <w:b w:val="0"/>
          <w:bCs w:val="0"/>
          <w:color w:val="222222"/>
          <w:shd w:val="clear" w:color="auto" w:fill="FFFFFF"/>
        </w:rPr>
        <w:t>patient-derived organoids</w:t>
      </w:r>
      <w:r w:rsidR="00E301DC" w:rsidRPr="006E35D7">
        <w:rPr>
          <w:rFonts w:asciiTheme="majorBidi" w:hAnsiTheme="majorBidi" w:cstheme="majorBidi"/>
          <w:b w:val="0"/>
          <w:bCs w:val="0"/>
          <w:color w:val="222222"/>
          <w:shd w:val="clear" w:color="auto" w:fill="FFFFFF"/>
        </w:rPr>
        <w:t>. </w:t>
      </w:r>
      <w:r w:rsidR="00B01A73" w:rsidRPr="006E35D7">
        <w:rPr>
          <w:rFonts w:asciiTheme="majorBidi" w:eastAsia="BookAntiqua" w:hAnsiTheme="majorBidi" w:cstheme="majorBidi"/>
          <w:b w:val="0"/>
          <w:bCs w:val="0"/>
        </w:rPr>
        <w:t>Despite being an attractive therapeutic agent</w:t>
      </w:r>
      <w:r w:rsidR="00FA3EB2" w:rsidRPr="006E35D7">
        <w:rPr>
          <w:rFonts w:asciiTheme="majorBidi" w:eastAsia="BookAntiqua" w:hAnsiTheme="majorBidi" w:cstheme="majorBidi"/>
          <w:b w:val="0"/>
          <w:bCs w:val="0"/>
        </w:rPr>
        <w:t xml:space="preserve">, </w:t>
      </w:r>
      <w:r w:rsidR="00B01A73" w:rsidRPr="006E35D7">
        <w:rPr>
          <w:rFonts w:asciiTheme="majorBidi" w:eastAsia="BookAntiqua" w:hAnsiTheme="majorBidi" w:cstheme="majorBidi"/>
          <w:b w:val="0"/>
          <w:bCs w:val="0"/>
        </w:rPr>
        <w:t>TQ</w:t>
      </w:r>
      <w:r w:rsidR="00FA3EB2" w:rsidRPr="006E35D7">
        <w:rPr>
          <w:rFonts w:asciiTheme="majorBidi" w:eastAsia="BookAntiqua" w:hAnsiTheme="majorBidi" w:cstheme="majorBidi"/>
          <w:b w:val="0"/>
          <w:bCs w:val="0"/>
        </w:rPr>
        <w:t xml:space="preserve"> has not </w:t>
      </w:r>
      <w:r w:rsidR="00AA65C9" w:rsidRPr="006E35D7">
        <w:rPr>
          <w:rFonts w:asciiTheme="majorBidi" w:eastAsia="BookAntiqua" w:hAnsiTheme="majorBidi" w:cstheme="majorBidi"/>
          <w:b w:val="0"/>
          <w:bCs w:val="0"/>
        </w:rPr>
        <w:t xml:space="preserve">yet </w:t>
      </w:r>
      <w:r w:rsidR="00FA3EB2" w:rsidRPr="006E35D7">
        <w:rPr>
          <w:rFonts w:asciiTheme="majorBidi" w:eastAsia="BookAntiqua" w:hAnsiTheme="majorBidi" w:cstheme="majorBidi"/>
          <w:b w:val="0"/>
          <w:bCs w:val="0"/>
        </w:rPr>
        <w:t xml:space="preserve">reached the clinical setting for cancer treatment </w:t>
      </w:r>
      <w:r w:rsidR="00C820F1" w:rsidRPr="006E35D7">
        <w:rPr>
          <w:rFonts w:asciiTheme="majorBidi" w:eastAsia="BookAntiqua" w:hAnsiTheme="majorBidi" w:cstheme="majorBidi"/>
          <w:b w:val="0"/>
          <w:bCs w:val="0"/>
        </w:rPr>
        <w:t>due to its hydrophobic</w:t>
      </w:r>
      <w:r w:rsidR="00AA65C9">
        <w:rPr>
          <w:rFonts w:asciiTheme="majorBidi" w:eastAsia="BookAntiqua" w:hAnsiTheme="majorBidi" w:cstheme="majorBidi"/>
          <w:b w:val="0"/>
          <w:bCs w:val="0"/>
        </w:rPr>
        <w:t xml:space="preserve"> structure</w:t>
      </w:r>
      <w:r w:rsidR="00FA3EB2" w:rsidRPr="006E35D7">
        <w:rPr>
          <w:rFonts w:asciiTheme="majorBidi" w:eastAsia="BookAntiqua" w:hAnsiTheme="majorBidi" w:cstheme="majorBidi"/>
          <w:b w:val="0"/>
          <w:bCs w:val="0"/>
        </w:rPr>
        <w:t xml:space="preserve"> </w:t>
      </w:r>
      <w:r w:rsidR="00C820F1" w:rsidRPr="006E35D7">
        <w:rPr>
          <w:rFonts w:asciiTheme="majorBidi" w:eastAsia="BookAntiqua" w:hAnsiTheme="majorBidi" w:cstheme="majorBidi"/>
          <w:b w:val="0"/>
          <w:bCs w:val="0"/>
        </w:rPr>
        <w:t>and poor bioavailability.</w:t>
      </w:r>
      <w:r w:rsidR="00FA3EB2" w:rsidRPr="006E35D7">
        <w:rPr>
          <w:rFonts w:asciiTheme="majorBidi" w:eastAsia="BookAntiqua" w:hAnsiTheme="majorBidi" w:cstheme="majorBidi"/>
          <w:b w:val="0"/>
          <w:bCs w:val="0"/>
        </w:rPr>
        <w:t xml:space="preserve"> </w:t>
      </w:r>
      <w:r w:rsidR="00AA65C9">
        <w:rPr>
          <w:rFonts w:asciiTheme="majorBidi" w:eastAsia="BookAntiqua" w:hAnsiTheme="majorBidi" w:cstheme="majorBidi"/>
          <w:b w:val="0"/>
          <w:bCs w:val="0"/>
        </w:rPr>
        <w:t>For this reason</w:t>
      </w:r>
      <w:r w:rsidR="00FA3EB2" w:rsidRPr="006E35D7">
        <w:rPr>
          <w:rFonts w:asciiTheme="majorBidi" w:eastAsia="BookAntiqua" w:hAnsiTheme="majorBidi" w:cstheme="majorBidi"/>
          <w:b w:val="0"/>
          <w:bCs w:val="0"/>
        </w:rPr>
        <w:t>, we developed nanotechnology-based drug delivery systems</w:t>
      </w:r>
      <w:r w:rsidR="00FA3EB2" w:rsidRPr="006E35D7">
        <w:rPr>
          <w:rFonts w:asciiTheme="majorBidi" w:hAnsiTheme="majorBidi" w:cstheme="majorBidi"/>
          <w:b w:val="0"/>
          <w:bCs w:val="0"/>
        </w:rPr>
        <w:t xml:space="preserve"> </w:t>
      </w:r>
      <w:r w:rsidR="00AA65C9">
        <w:rPr>
          <w:rFonts w:asciiTheme="majorBidi" w:hAnsiTheme="majorBidi" w:cstheme="majorBidi"/>
          <w:b w:val="0"/>
          <w:bCs w:val="0"/>
        </w:rPr>
        <w:t xml:space="preserve">for TQ and prepared </w:t>
      </w:r>
      <w:r w:rsidR="00E156F0" w:rsidRPr="006E35D7">
        <w:rPr>
          <w:rFonts w:asciiTheme="majorBidi" w:hAnsiTheme="majorBidi" w:cstheme="majorBidi"/>
          <w:b w:val="0"/>
          <w:bCs w:val="0"/>
        </w:rPr>
        <w:t>poly</w:t>
      </w:r>
      <w:r w:rsidR="00081FB5" w:rsidRPr="006E35D7">
        <w:rPr>
          <w:rFonts w:asciiTheme="majorBidi" w:hAnsiTheme="majorBidi" w:cstheme="majorBidi"/>
          <w:b w:val="0"/>
          <w:bCs w:val="0"/>
        </w:rPr>
        <w:t>meric</w:t>
      </w:r>
      <w:r w:rsidR="00E156F0" w:rsidRPr="006E35D7">
        <w:rPr>
          <w:rFonts w:asciiTheme="majorBidi" w:hAnsiTheme="majorBidi" w:cstheme="majorBidi"/>
          <w:b w:val="0"/>
          <w:bCs w:val="0"/>
        </w:rPr>
        <w:t xml:space="preserve"> </w:t>
      </w:r>
      <w:r w:rsidR="008346C7" w:rsidRPr="006E35D7">
        <w:rPr>
          <w:rFonts w:asciiTheme="majorBidi" w:hAnsiTheme="majorBidi" w:cstheme="majorBidi"/>
          <w:b w:val="0"/>
          <w:bCs w:val="0"/>
        </w:rPr>
        <w:t xml:space="preserve">and </w:t>
      </w:r>
      <w:proofErr w:type="spellStart"/>
      <w:r w:rsidR="008346C7" w:rsidRPr="006E35D7">
        <w:rPr>
          <w:rFonts w:asciiTheme="majorBidi" w:hAnsiTheme="majorBidi" w:cstheme="majorBidi"/>
          <w:b w:val="0"/>
          <w:bCs w:val="0"/>
        </w:rPr>
        <w:t>cubosomal</w:t>
      </w:r>
      <w:proofErr w:type="spellEnd"/>
      <w:r w:rsidR="008346C7" w:rsidRPr="006E35D7">
        <w:rPr>
          <w:rFonts w:asciiTheme="majorBidi" w:hAnsiTheme="majorBidi" w:cstheme="majorBidi"/>
          <w:b w:val="0"/>
          <w:bCs w:val="0"/>
        </w:rPr>
        <w:t xml:space="preserve"> </w:t>
      </w:r>
      <w:r w:rsidR="00E156F0" w:rsidRPr="006E35D7">
        <w:rPr>
          <w:rFonts w:asciiTheme="majorBidi" w:hAnsiTheme="majorBidi" w:cstheme="majorBidi"/>
          <w:b w:val="0"/>
          <w:bCs w:val="0"/>
        </w:rPr>
        <w:t xml:space="preserve">nanoparticles </w:t>
      </w:r>
      <w:r w:rsidR="00FA3EB2" w:rsidRPr="006E35D7">
        <w:rPr>
          <w:rFonts w:asciiTheme="majorBidi" w:hAnsiTheme="majorBidi" w:cstheme="majorBidi"/>
          <w:b w:val="0"/>
          <w:bCs w:val="0"/>
        </w:rPr>
        <w:t>for the encapsulation and delivery of TQ</w:t>
      </w:r>
      <w:r w:rsidR="00AA65C9">
        <w:rPr>
          <w:rFonts w:asciiTheme="majorBidi" w:hAnsiTheme="majorBidi" w:cstheme="majorBidi"/>
          <w:b w:val="0"/>
          <w:bCs w:val="0"/>
        </w:rPr>
        <w:t xml:space="preserve">. We also </w:t>
      </w:r>
      <w:r w:rsidR="00E156F0" w:rsidRPr="006E35D7">
        <w:rPr>
          <w:rFonts w:asciiTheme="majorBidi" w:hAnsiTheme="majorBidi" w:cstheme="majorBidi"/>
          <w:b w:val="0"/>
          <w:bCs w:val="0"/>
        </w:rPr>
        <w:t xml:space="preserve">assessed the anticancer activity </w:t>
      </w:r>
      <w:r w:rsidR="00AA65C9">
        <w:rPr>
          <w:rFonts w:asciiTheme="majorBidi" w:hAnsiTheme="majorBidi" w:cstheme="majorBidi"/>
          <w:b w:val="0"/>
          <w:bCs w:val="0"/>
        </w:rPr>
        <w:t xml:space="preserve">of these nanoparticle preparations </w:t>
      </w:r>
      <w:r w:rsidR="00E156F0" w:rsidRPr="006E35D7">
        <w:rPr>
          <w:rFonts w:asciiTheme="majorBidi" w:hAnsiTheme="majorBidi" w:cstheme="majorBidi"/>
          <w:b w:val="0"/>
          <w:bCs w:val="0"/>
        </w:rPr>
        <w:t xml:space="preserve">against </w:t>
      </w:r>
      <w:r w:rsidR="00AA65C9">
        <w:rPr>
          <w:rFonts w:asciiTheme="majorBidi" w:hAnsiTheme="majorBidi" w:cstheme="majorBidi"/>
          <w:b w:val="0"/>
          <w:bCs w:val="0"/>
        </w:rPr>
        <w:t xml:space="preserve">several </w:t>
      </w:r>
      <w:r w:rsidR="00E156F0" w:rsidRPr="006E35D7">
        <w:rPr>
          <w:rFonts w:asciiTheme="majorBidi" w:hAnsiTheme="majorBidi" w:cstheme="majorBidi"/>
          <w:b w:val="0"/>
          <w:bCs w:val="0"/>
        </w:rPr>
        <w:t>breast</w:t>
      </w:r>
      <w:r w:rsidR="00AA65C9">
        <w:rPr>
          <w:rFonts w:asciiTheme="majorBidi" w:hAnsiTheme="majorBidi" w:cstheme="majorBidi"/>
          <w:b w:val="0"/>
          <w:bCs w:val="0"/>
        </w:rPr>
        <w:t xml:space="preserve"> cancer cells</w:t>
      </w:r>
      <w:r w:rsidR="00E156F0" w:rsidRPr="006E35D7">
        <w:rPr>
          <w:rFonts w:asciiTheme="majorBidi" w:hAnsiTheme="majorBidi" w:cstheme="majorBidi"/>
          <w:b w:val="0"/>
          <w:bCs w:val="0"/>
        </w:rPr>
        <w:t xml:space="preserve">. </w:t>
      </w:r>
      <w:r w:rsidR="00F07E01" w:rsidRPr="006E35D7">
        <w:rPr>
          <w:rFonts w:asciiTheme="majorBidi" w:hAnsiTheme="majorBidi" w:cstheme="majorBidi"/>
          <w:b w:val="0"/>
          <w:bCs w:val="0"/>
        </w:rPr>
        <w:t xml:space="preserve">Encapsulating TQ in both nanocarriers enhanced its effect </w:t>
      </w:r>
      <w:r w:rsidR="009868B9">
        <w:rPr>
          <w:rFonts w:asciiTheme="majorBidi" w:hAnsiTheme="majorBidi" w:cstheme="majorBidi"/>
          <w:b w:val="0"/>
          <w:bCs w:val="0"/>
        </w:rPr>
        <w:t>as evidenced</w:t>
      </w:r>
      <w:r w:rsidR="00AA65C9">
        <w:rPr>
          <w:rFonts w:asciiTheme="majorBidi" w:hAnsiTheme="majorBidi" w:cstheme="majorBidi"/>
          <w:b w:val="0"/>
          <w:bCs w:val="0"/>
        </w:rPr>
        <w:t xml:space="preserve"> by a greater decrease in cell</w:t>
      </w:r>
      <w:r w:rsidR="00F07E01" w:rsidRPr="006E35D7">
        <w:rPr>
          <w:rFonts w:asciiTheme="majorBidi" w:hAnsiTheme="majorBidi" w:cstheme="majorBidi"/>
          <w:b w:val="0"/>
          <w:bCs w:val="0"/>
        </w:rPr>
        <w:t xml:space="preserve"> viability </w:t>
      </w:r>
      <w:r w:rsidR="009868B9">
        <w:rPr>
          <w:rFonts w:asciiTheme="majorBidi" w:hAnsiTheme="majorBidi" w:cstheme="majorBidi"/>
          <w:b w:val="0"/>
          <w:bCs w:val="0"/>
        </w:rPr>
        <w:t xml:space="preserve">compared to free TQ. Interestingly TQ nanoparticles were not </w:t>
      </w:r>
      <w:r w:rsidR="009868B9" w:rsidRPr="006E35D7">
        <w:rPr>
          <w:rFonts w:asciiTheme="majorBidi" w:hAnsiTheme="majorBidi" w:cstheme="majorBidi"/>
          <w:b w:val="0"/>
          <w:bCs w:val="0"/>
        </w:rPr>
        <w:t>toxic</w:t>
      </w:r>
      <w:r w:rsidR="00081FB5" w:rsidRPr="006E35D7">
        <w:rPr>
          <w:rFonts w:asciiTheme="majorBidi" w:hAnsiTheme="majorBidi" w:cstheme="majorBidi"/>
          <w:b w:val="0"/>
          <w:bCs w:val="0"/>
        </w:rPr>
        <w:t xml:space="preserve"> to</w:t>
      </w:r>
      <w:r w:rsidR="00F07E01" w:rsidRPr="006E35D7">
        <w:rPr>
          <w:rFonts w:asciiTheme="majorBidi" w:hAnsiTheme="majorBidi" w:cstheme="majorBidi"/>
          <w:b w:val="0"/>
          <w:bCs w:val="0"/>
        </w:rPr>
        <w:t xml:space="preserve"> </w:t>
      </w:r>
      <w:r w:rsidR="00D97510">
        <w:rPr>
          <w:rFonts w:asciiTheme="majorBidi" w:hAnsiTheme="majorBidi" w:cstheme="majorBidi"/>
          <w:b w:val="0"/>
          <w:bCs w:val="0"/>
        </w:rPr>
        <w:t>non-tumorigenic</w:t>
      </w:r>
      <w:r w:rsidR="00F07E01" w:rsidRPr="006E35D7">
        <w:rPr>
          <w:rFonts w:asciiTheme="majorBidi" w:hAnsiTheme="majorBidi" w:cstheme="majorBidi"/>
          <w:b w:val="0"/>
          <w:bCs w:val="0"/>
        </w:rPr>
        <w:t xml:space="preserve"> breast cell</w:t>
      </w:r>
      <w:r w:rsidR="009868B9">
        <w:rPr>
          <w:rFonts w:asciiTheme="majorBidi" w:hAnsiTheme="majorBidi" w:cstheme="majorBidi"/>
          <w:b w:val="0"/>
          <w:bCs w:val="0"/>
        </w:rPr>
        <w:t xml:space="preserve"> lines</w:t>
      </w:r>
      <w:r w:rsidR="00F07E01" w:rsidRPr="006E35D7">
        <w:rPr>
          <w:rFonts w:asciiTheme="majorBidi" w:hAnsiTheme="majorBidi" w:cstheme="majorBidi"/>
          <w:b w:val="0"/>
          <w:bCs w:val="0"/>
        </w:rPr>
        <w:t xml:space="preserve">. </w:t>
      </w:r>
      <w:r w:rsidR="00B01A73" w:rsidRPr="006E35D7">
        <w:rPr>
          <w:rFonts w:asciiTheme="majorBidi" w:hAnsiTheme="majorBidi" w:cstheme="majorBidi"/>
          <w:b w:val="0"/>
          <w:bCs w:val="0"/>
        </w:rPr>
        <w:t>In addition, t</w:t>
      </w:r>
      <w:r w:rsidR="00123187" w:rsidRPr="006E35D7">
        <w:rPr>
          <w:rFonts w:asciiTheme="majorBidi" w:hAnsiTheme="majorBidi" w:cstheme="majorBidi"/>
          <w:b w:val="0"/>
          <w:bCs w:val="0"/>
        </w:rPr>
        <w:t xml:space="preserve">hese nanoparticles allowed the visualization and tracking of TQ in </w:t>
      </w:r>
      <w:r w:rsidR="00D97510">
        <w:rPr>
          <w:rFonts w:asciiTheme="majorBidi" w:hAnsiTheme="majorBidi" w:cstheme="majorBidi"/>
          <w:b w:val="0"/>
          <w:bCs w:val="0"/>
        </w:rPr>
        <w:t xml:space="preserve">formulation; </w:t>
      </w:r>
      <w:r w:rsidR="009868B9">
        <w:rPr>
          <w:rFonts w:asciiTheme="majorBidi" w:hAnsiTheme="majorBidi" w:cstheme="majorBidi"/>
          <w:b w:val="0"/>
          <w:bCs w:val="0"/>
        </w:rPr>
        <w:t xml:space="preserve">TQ nanoparticles </w:t>
      </w:r>
      <w:r w:rsidR="00D97510">
        <w:rPr>
          <w:rFonts w:asciiTheme="majorBidi" w:hAnsiTheme="majorBidi" w:cstheme="majorBidi"/>
          <w:b w:val="0"/>
          <w:bCs w:val="0"/>
        </w:rPr>
        <w:t xml:space="preserve">were found to </w:t>
      </w:r>
      <w:r w:rsidR="009868B9">
        <w:rPr>
          <w:rFonts w:asciiTheme="majorBidi" w:hAnsiTheme="majorBidi" w:cstheme="majorBidi"/>
          <w:b w:val="0"/>
          <w:bCs w:val="0"/>
        </w:rPr>
        <w:t>enter the cell and reach the nucleus to exert their biological activity</w:t>
      </w:r>
      <w:r w:rsidR="00123187" w:rsidRPr="006E35D7">
        <w:rPr>
          <w:rFonts w:asciiTheme="majorBidi" w:hAnsiTheme="majorBidi" w:cstheme="majorBidi"/>
          <w:b w:val="0"/>
          <w:bCs w:val="0"/>
        </w:rPr>
        <w:t xml:space="preserve">. </w:t>
      </w:r>
      <w:r w:rsidR="009868B9">
        <w:rPr>
          <w:rFonts w:asciiTheme="majorBidi" w:hAnsiTheme="majorBidi" w:cstheme="majorBidi"/>
          <w:b w:val="0"/>
          <w:bCs w:val="0"/>
        </w:rPr>
        <w:t>B</w:t>
      </w:r>
      <w:r w:rsidR="00123187" w:rsidRPr="006E35D7">
        <w:rPr>
          <w:rFonts w:asciiTheme="majorBidi" w:hAnsiTheme="majorBidi" w:cstheme="majorBidi"/>
          <w:b w:val="0"/>
          <w:bCs w:val="0"/>
        </w:rPr>
        <w:t xml:space="preserve">oth drug delivery platforms were </w:t>
      </w:r>
      <w:r w:rsidR="001E5AA3" w:rsidRPr="006E35D7">
        <w:rPr>
          <w:rFonts w:asciiTheme="majorBidi" w:hAnsiTheme="majorBidi" w:cstheme="majorBidi"/>
          <w:b w:val="0"/>
          <w:bCs w:val="0"/>
        </w:rPr>
        <w:t xml:space="preserve">taken up into the cells by </w:t>
      </w:r>
      <w:proofErr w:type="spellStart"/>
      <w:r w:rsidR="001E5AA3" w:rsidRPr="006E35D7">
        <w:rPr>
          <w:rFonts w:asciiTheme="majorBidi" w:hAnsiTheme="majorBidi" w:cstheme="majorBidi"/>
          <w:b w:val="0"/>
          <w:bCs w:val="0"/>
        </w:rPr>
        <w:t>clathrin</w:t>
      </w:r>
      <w:proofErr w:type="spellEnd"/>
      <w:r w:rsidR="001E5AA3" w:rsidRPr="006E35D7">
        <w:rPr>
          <w:rFonts w:asciiTheme="majorBidi" w:hAnsiTheme="majorBidi" w:cstheme="majorBidi"/>
          <w:b w:val="0"/>
          <w:bCs w:val="0"/>
        </w:rPr>
        <w:t xml:space="preserve"> and caveolin-mediated endocytosis.</w:t>
      </w:r>
      <w:r w:rsidR="00707270" w:rsidRPr="006E35D7">
        <w:rPr>
          <w:rFonts w:asciiTheme="majorBidi" w:hAnsiTheme="majorBidi" w:cstheme="majorBidi"/>
          <w:b w:val="0"/>
          <w:bCs w:val="0"/>
        </w:rPr>
        <w:t xml:space="preserve"> </w:t>
      </w:r>
      <w:r w:rsidR="009868B9">
        <w:rPr>
          <w:rFonts w:asciiTheme="majorBidi" w:hAnsiTheme="majorBidi" w:cstheme="majorBidi"/>
          <w:b w:val="0"/>
          <w:bCs w:val="0"/>
        </w:rPr>
        <w:t xml:space="preserve">In </w:t>
      </w:r>
      <w:r w:rsidR="00CF643B">
        <w:rPr>
          <w:rFonts w:asciiTheme="majorBidi" w:hAnsiTheme="majorBidi" w:cstheme="majorBidi"/>
          <w:b w:val="0"/>
          <w:bCs w:val="0"/>
        </w:rPr>
        <w:t>summary</w:t>
      </w:r>
      <w:r w:rsidR="009868B9">
        <w:rPr>
          <w:rFonts w:asciiTheme="majorBidi" w:hAnsiTheme="majorBidi" w:cstheme="majorBidi"/>
          <w:b w:val="0"/>
          <w:bCs w:val="0"/>
        </w:rPr>
        <w:t xml:space="preserve">, </w:t>
      </w:r>
      <w:r w:rsidR="00D97510">
        <w:rPr>
          <w:rFonts w:asciiTheme="majorBidi" w:hAnsiTheme="majorBidi" w:cstheme="majorBidi"/>
          <w:b w:val="0"/>
          <w:bCs w:val="0"/>
        </w:rPr>
        <w:t xml:space="preserve">our data shows that </w:t>
      </w:r>
      <w:r w:rsidR="00C33D9E" w:rsidRPr="006E35D7">
        <w:rPr>
          <w:rFonts w:asciiTheme="majorBidi" w:hAnsiTheme="majorBidi" w:cstheme="majorBidi"/>
          <w:b w:val="0"/>
          <w:bCs w:val="0"/>
        </w:rPr>
        <w:t xml:space="preserve">TQ loaded </w:t>
      </w:r>
      <w:r w:rsidR="00707270" w:rsidRPr="006E35D7">
        <w:rPr>
          <w:rFonts w:asciiTheme="majorBidi" w:hAnsiTheme="majorBidi" w:cstheme="majorBidi"/>
          <w:b w:val="0"/>
          <w:bCs w:val="0"/>
        </w:rPr>
        <w:t xml:space="preserve">nanoparticles </w:t>
      </w:r>
      <w:r w:rsidR="009868B9">
        <w:rPr>
          <w:rFonts w:asciiTheme="majorBidi" w:hAnsiTheme="majorBidi" w:cstheme="majorBidi"/>
          <w:b w:val="0"/>
          <w:bCs w:val="0"/>
        </w:rPr>
        <w:t>are</w:t>
      </w:r>
      <w:r w:rsidR="00707270" w:rsidRPr="006E35D7">
        <w:rPr>
          <w:rFonts w:asciiTheme="majorBidi" w:hAnsiTheme="majorBidi" w:cstheme="majorBidi"/>
          <w:b w:val="0"/>
          <w:bCs w:val="0"/>
        </w:rPr>
        <w:t xml:space="preserve"> potential candidate</w:t>
      </w:r>
      <w:r w:rsidR="009868B9">
        <w:rPr>
          <w:rFonts w:asciiTheme="majorBidi" w:hAnsiTheme="majorBidi" w:cstheme="majorBidi"/>
          <w:b w:val="0"/>
          <w:bCs w:val="0"/>
        </w:rPr>
        <w:t>s</w:t>
      </w:r>
      <w:r w:rsidR="00707270" w:rsidRPr="006E35D7">
        <w:rPr>
          <w:rFonts w:asciiTheme="majorBidi" w:hAnsiTheme="majorBidi" w:cstheme="majorBidi"/>
          <w:b w:val="0"/>
          <w:bCs w:val="0"/>
        </w:rPr>
        <w:t xml:space="preserve"> for cancer treatment</w:t>
      </w:r>
      <w:r w:rsidR="00C33D9E" w:rsidRPr="006E35D7">
        <w:rPr>
          <w:rFonts w:asciiTheme="majorBidi" w:hAnsiTheme="majorBidi" w:cstheme="majorBidi"/>
          <w:b w:val="0"/>
          <w:bCs w:val="0"/>
        </w:rPr>
        <w:t xml:space="preserve"> that </w:t>
      </w:r>
      <w:r w:rsidR="009868B9">
        <w:rPr>
          <w:rFonts w:asciiTheme="majorBidi" w:hAnsiTheme="majorBidi" w:cstheme="majorBidi"/>
          <w:b w:val="0"/>
          <w:bCs w:val="0"/>
        </w:rPr>
        <w:t>should</w:t>
      </w:r>
      <w:r w:rsidR="00C33D9E" w:rsidRPr="006E35D7">
        <w:rPr>
          <w:rFonts w:asciiTheme="majorBidi" w:hAnsiTheme="majorBidi" w:cstheme="majorBidi"/>
          <w:b w:val="0"/>
          <w:bCs w:val="0"/>
        </w:rPr>
        <w:t xml:space="preserve"> be evaluated </w:t>
      </w:r>
      <w:r w:rsidR="00707270" w:rsidRPr="006E35D7">
        <w:rPr>
          <w:rFonts w:asciiTheme="majorBidi" w:hAnsiTheme="majorBidi" w:cstheme="majorBidi"/>
          <w:b w:val="0"/>
          <w:bCs w:val="0"/>
          <w:i/>
          <w:iCs/>
        </w:rPr>
        <w:t>in vivo</w:t>
      </w:r>
      <w:r w:rsidR="00707270" w:rsidRPr="006E35D7">
        <w:rPr>
          <w:rFonts w:asciiTheme="majorBidi" w:hAnsiTheme="majorBidi" w:cstheme="majorBidi"/>
          <w:b w:val="0"/>
          <w:bCs w:val="0"/>
        </w:rPr>
        <w:t xml:space="preserve"> </w:t>
      </w:r>
      <w:r w:rsidR="00C33D9E" w:rsidRPr="006E35D7">
        <w:rPr>
          <w:rFonts w:asciiTheme="majorBidi" w:hAnsiTheme="majorBidi" w:cstheme="majorBidi"/>
          <w:b w:val="0"/>
          <w:bCs w:val="0"/>
        </w:rPr>
        <w:t>prior to their future translation to the clinic.</w:t>
      </w:r>
    </w:p>
    <w:p w14:paraId="0DCE5102" w14:textId="5A05471E" w:rsidR="009851E9" w:rsidRPr="006E35D7" w:rsidRDefault="009851E9" w:rsidP="0012318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2B7D90D5" w14:textId="6C0280DC" w:rsidR="004959D6" w:rsidRPr="006E35D7" w:rsidRDefault="00F25BE9" w:rsidP="004959D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E35D7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14:paraId="7389DB43" w14:textId="7E6C92B2" w:rsidR="00F25BE9" w:rsidRDefault="00F25BE9" w:rsidP="006E35D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6E35D7">
        <w:rPr>
          <w:rFonts w:asciiTheme="majorBidi" w:hAnsiTheme="majorBidi" w:cstheme="majorBidi"/>
          <w:sz w:val="24"/>
          <w:szCs w:val="24"/>
        </w:rPr>
        <w:t>Dr. Hala Gali- Muhtasib is a Professor of Cell Biology at the American University of Beirut, Lebanon. Her research interests include identifying plant-derived anticancer compounds and understanding their cellular and molecular mechanisms of action in addition to improving their delivery to tumor cells.</w:t>
      </w:r>
    </w:p>
    <w:p w14:paraId="2644BD50" w14:textId="77777777" w:rsidR="006E35D7" w:rsidRPr="006E35D7" w:rsidRDefault="006E35D7" w:rsidP="006E35D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371674C1" w14:textId="64EA3687" w:rsidR="00F25BE9" w:rsidRPr="006E35D7" w:rsidRDefault="00F25BE9" w:rsidP="004959D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E35D7">
        <w:rPr>
          <w:rFonts w:asciiTheme="majorBidi" w:hAnsiTheme="majorBidi" w:cstheme="majorBidi"/>
          <w:b/>
          <w:bCs/>
          <w:sz w:val="24"/>
          <w:szCs w:val="24"/>
        </w:rPr>
        <w:t>References</w:t>
      </w:r>
    </w:p>
    <w:p w14:paraId="2839F573" w14:textId="77777777" w:rsidR="00993B2B" w:rsidRPr="006E35D7" w:rsidRDefault="00993B2B" w:rsidP="006E35D7">
      <w:pPr>
        <w:pStyle w:val="ng-binding"/>
        <w:numPr>
          <w:ilvl w:val="0"/>
          <w:numId w:val="4"/>
        </w:numPr>
        <w:shd w:val="clear" w:color="auto" w:fill="FFFFFF"/>
        <w:rPr>
          <w:rFonts w:asciiTheme="majorBidi" w:hAnsiTheme="majorBidi" w:cstheme="majorBidi"/>
          <w:color w:val="333333"/>
        </w:rPr>
      </w:pPr>
      <w:r w:rsidRPr="006E35D7">
        <w:rPr>
          <w:rFonts w:asciiTheme="majorBidi" w:hAnsiTheme="majorBidi" w:cstheme="majorBidi"/>
          <w:color w:val="333333"/>
        </w:rPr>
        <w:t xml:space="preserve">Fakhoury, I., Saad, W., </w:t>
      </w:r>
      <w:proofErr w:type="spellStart"/>
      <w:r w:rsidRPr="006E35D7">
        <w:rPr>
          <w:rFonts w:asciiTheme="majorBidi" w:hAnsiTheme="majorBidi" w:cstheme="majorBidi"/>
          <w:color w:val="333333"/>
        </w:rPr>
        <w:t>Bouhadir</w:t>
      </w:r>
      <w:proofErr w:type="spellEnd"/>
      <w:r w:rsidRPr="006E35D7">
        <w:rPr>
          <w:rFonts w:asciiTheme="majorBidi" w:hAnsiTheme="majorBidi" w:cstheme="majorBidi"/>
          <w:color w:val="333333"/>
        </w:rPr>
        <w:t>, K., Nygren, P., Schneider-Stock, R., &amp; Gali-Muhtasib, H. (2016). Uptake, delivery, and anticancer activity of thymoquinone nanoparticles in breast cancer cells.</w:t>
      </w:r>
      <w:r w:rsidRPr="006E35D7">
        <w:rPr>
          <w:rFonts w:asciiTheme="majorBidi" w:hAnsiTheme="majorBidi" w:cstheme="majorBidi"/>
          <w:i/>
          <w:iCs/>
          <w:color w:val="333333"/>
        </w:rPr>
        <w:t> Journal of Nanoparticle Research : An Interdisciplinary Forum for Nanoscale Science and Technology, 18</w:t>
      </w:r>
      <w:r w:rsidRPr="006E35D7">
        <w:rPr>
          <w:rFonts w:asciiTheme="majorBidi" w:hAnsiTheme="majorBidi" w:cstheme="majorBidi"/>
          <w:color w:val="333333"/>
        </w:rPr>
        <w:t>(7), 1. </w:t>
      </w:r>
      <w:hyperlink r:id="rId5" w:tgtFrame="_blank" w:history="1">
        <w:r w:rsidRPr="006E35D7">
          <w:rPr>
            <w:rStyle w:val="Hyperlink"/>
            <w:rFonts w:asciiTheme="majorBidi" w:hAnsiTheme="majorBidi" w:cstheme="majorBidi"/>
            <w:color w:val="2659AB"/>
          </w:rPr>
          <w:t>https://doi.org/10.1007/s11051-016-3517-8</w:t>
        </w:r>
      </w:hyperlink>
    </w:p>
    <w:p w14:paraId="1330F7B2" w14:textId="526FBA1C" w:rsidR="006E35D7" w:rsidRPr="006E35D7" w:rsidRDefault="00993B2B" w:rsidP="006E35D7">
      <w:pPr>
        <w:pStyle w:val="ng-binding"/>
        <w:numPr>
          <w:ilvl w:val="0"/>
          <w:numId w:val="4"/>
        </w:numPr>
        <w:shd w:val="clear" w:color="auto" w:fill="FFFFFF"/>
        <w:rPr>
          <w:rFonts w:asciiTheme="majorBidi" w:hAnsiTheme="majorBidi" w:cstheme="majorBidi"/>
          <w:color w:val="333333"/>
        </w:rPr>
      </w:pPr>
      <w:r w:rsidRPr="006E35D7">
        <w:rPr>
          <w:rFonts w:asciiTheme="majorBidi" w:hAnsiTheme="majorBidi" w:cstheme="majorBidi"/>
          <w:color w:val="333333"/>
        </w:rPr>
        <w:t xml:space="preserve">Mehanna, M. M., Sarieddine, R., </w:t>
      </w:r>
      <w:proofErr w:type="spellStart"/>
      <w:r w:rsidRPr="006E35D7">
        <w:rPr>
          <w:rFonts w:asciiTheme="majorBidi" w:hAnsiTheme="majorBidi" w:cstheme="majorBidi"/>
          <w:color w:val="333333"/>
        </w:rPr>
        <w:t>Alwattar</w:t>
      </w:r>
      <w:proofErr w:type="spellEnd"/>
      <w:r w:rsidRPr="006E35D7">
        <w:rPr>
          <w:rFonts w:asciiTheme="majorBidi" w:hAnsiTheme="majorBidi" w:cstheme="majorBidi"/>
          <w:color w:val="333333"/>
        </w:rPr>
        <w:t xml:space="preserve">, J. K., Chouaib, R., &amp; Gali-Muhtasib, H. (2020). Anticancer activity of thymoquinone cubic phase nanoparticles against human breast cancer: Formulation, </w:t>
      </w:r>
      <w:proofErr w:type="gramStart"/>
      <w:r w:rsidRPr="006E35D7">
        <w:rPr>
          <w:rFonts w:asciiTheme="majorBidi" w:hAnsiTheme="majorBidi" w:cstheme="majorBidi"/>
          <w:color w:val="333333"/>
        </w:rPr>
        <w:t>cytotoxicity</w:t>
      </w:r>
      <w:proofErr w:type="gramEnd"/>
      <w:r w:rsidRPr="006E35D7">
        <w:rPr>
          <w:rFonts w:asciiTheme="majorBidi" w:hAnsiTheme="majorBidi" w:cstheme="majorBidi"/>
          <w:color w:val="333333"/>
        </w:rPr>
        <w:t xml:space="preserve"> and subcellular localization.</w:t>
      </w:r>
      <w:r w:rsidRPr="006E35D7">
        <w:rPr>
          <w:rFonts w:asciiTheme="majorBidi" w:hAnsiTheme="majorBidi" w:cstheme="majorBidi"/>
          <w:i/>
          <w:iCs/>
          <w:color w:val="333333"/>
        </w:rPr>
        <w:t> International Journal of Nanomedicine, 15</w:t>
      </w:r>
      <w:r w:rsidRPr="006E35D7">
        <w:rPr>
          <w:rFonts w:asciiTheme="majorBidi" w:hAnsiTheme="majorBidi" w:cstheme="majorBidi"/>
          <w:color w:val="333333"/>
        </w:rPr>
        <w:t>, 9557-9570. </w:t>
      </w:r>
      <w:hyperlink r:id="rId6" w:tgtFrame="_blank" w:history="1">
        <w:r w:rsidRPr="006E35D7">
          <w:rPr>
            <w:rStyle w:val="Hyperlink"/>
            <w:rFonts w:asciiTheme="majorBidi" w:hAnsiTheme="majorBidi" w:cstheme="majorBidi"/>
            <w:color w:val="2659AB"/>
          </w:rPr>
          <w:t>https://doi.org/10.2147/IJN.S263797</w:t>
        </w:r>
      </w:hyperlink>
    </w:p>
    <w:p w14:paraId="2343AA4D" w14:textId="502FA4D0" w:rsidR="006E35D7" w:rsidRPr="006E35D7" w:rsidRDefault="006E35D7" w:rsidP="006E35D7">
      <w:pPr>
        <w:pStyle w:val="ng-binding"/>
        <w:shd w:val="clear" w:color="auto" w:fill="FFFFFF"/>
        <w:rPr>
          <w:rFonts w:asciiTheme="majorBidi" w:hAnsiTheme="majorBidi" w:cstheme="majorBidi"/>
          <w:b/>
          <w:bCs/>
          <w:color w:val="333333"/>
        </w:rPr>
      </w:pPr>
      <w:r w:rsidRPr="006E35D7">
        <w:rPr>
          <w:rFonts w:asciiTheme="majorBidi" w:hAnsiTheme="majorBidi" w:cstheme="majorBidi"/>
          <w:b/>
          <w:bCs/>
          <w:color w:val="333333"/>
        </w:rPr>
        <w:t>University logo</w:t>
      </w:r>
    </w:p>
    <w:p w14:paraId="536B260B" w14:textId="68010941" w:rsidR="00F25BE9" w:rsidRPr="006E35D7" w:rsidRDefault="006E35D7" w:rsidP="004959D6">
      <w:pPr>
        <w:rPr>
          <w:rFonts w:asciiTheme="majorBidi" w:hAnsiTheme="majorBidi" w:cstheme="majorBidi"/>
          <w:b/>
          <w:bCs/>
          <w:sz w:val="24"/>
          <w:szCs w:val="24"/>
        </w:rPr>
      </w:pPr>
      <w:r w:rsidRPr="006E35D7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32EFA2F0" wp14:editId="605B87BD">
            <wp:extent cx="2481606" cy="822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761" cy="82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5BE9" w:rsidRPr="006E3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Antiqua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0F72"/>
    <w:multiLevelType w:val="multilevel"/>
    <w:tmpl w:val="8338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15EEF"/>
    <w:multiLevelType w:val="hybridMultilevel"/>
    <w:tmpl w:val="6420A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36D76"/>
    <w:multiLevelType w:val="hybridMultilevel"/>
    <w:tmpl w:val="3EC6A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B404D"/>
    <w:multiLevelType w:val="multilevel"/>
    <w:tmpl w:val="0BF6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4714873">
    <w:abstractNumId w:val="0"/>
  </w:num>
  <w:num w:numId="2" w16cid:durableId="1199007124">
    <w:abstractNumId w:val="3"/>
  </w:num>
  <w:num w:numId="3" w16cid:durableId="236288434">
    <w:abstractNumId w:val="1"/>
  </w:num>
  <w:num w:numId="4" w16cid:durableId="226762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55"/>
    <w:rsid w:val="00081FB5"/>
    <w:rsid w:val="001052F2"/>
    <w:rsid w:val="00123187"/>
    <w:rsid w:val="001E5AA3"/>
    <w:rsid w:val="003879E7"/>
    <w:rsid w:val="00473D95"/>
    <w:rsid w:val="004959D6"/>
    <w:rsid w:val="00521E2D"/>
    <w:rsid w:val="006E35D7"/>
    <w:rsid w:val="00707270"/>
    <w:rsid w:val="007A6A80"/>
    <w:rsid w:val="007D11F0"/>
    <w:rsid w:val="007E5D67"/>
    <w:rsid w:val="008346C7"/>
    <w:rsid w:val="009851E9"/>
    <w:rsid w:val="009868B9"/>
    <w:rsid w:val="00993B2B"/>
    <w:rsid w:val="00A30A2C"/>
    <w:rsid w:val="00AA65C9"/>
    <w:rsid w:val="00B01A73"/>
    <w:rsid w:val="00C33D9E"/>
    <w:rsid w:val="00C820F1"/>
    <w:rsid w:val="00CF643B"/>
    <w:rsid w:val="00D159F3"/>
    <w:rsid w:val="00D17FC0"/>
    <w:rsid w:val="00D71556"/>
    <w:rsid w:val="00D77749"/>
    <w:rsid w:val="00D97510"/>
    <w:rsid w:val="00DC4F55"/>
    <w:rsid w:val="00DF5802"/>
    <w:rsid w:val="00E156F0"/>
    <w:rsid w:val="00E301DC"/>
    <w:rsid w:val="00E72B27"/>
    <w:rsid w:val="00EA449D"/>
    <w:rsid w:val="00F07E01"/>
    <w:rsid w:val="00F25BE9"/>
    <w:rsid w:val="00FA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CEE3D"/>
  <w15:chartTrackingRefBased/>
  <w15:docId w15:val="{4539EA3B-7E17-4AB6-B69C-BC98BCA6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052F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4F55"/>
    <w:pPr>
      <w:autoSpaceDE w:val="0"/>
      <w:autoSpaceDN w:val="0"/>
      <w:adjustRightInd w:val="0"/>
      <w:spacing w:after="0" w:line="240" w:lineRule="auto"/>
    </w:pPr>
    <w:rPr>
      <w:rFonts w:ascii="Gill Sans" w:hAnsi="Gill Sans" w:cs="Gill Sans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052F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g-binding">
    <w:name w:val="ng-binding"/>
    <w:basedOn w:val="Normal"/>
    <w:rsid w:val="00993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93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3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2147/IJN.S263797" TargetMode="External"/><Relationship Id="rId5" Type="http://schemas.openxmlformats.org/officeDocument/2006/relationships/hyperlink" Target="https://doi.org/10.1007/s11051-016-3517-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hamzeh Fatfat</dc:creator>
  <cp:keywords/>
  <dc:description/>
  <cp:lastModifiedBy>hamzeh Fatfat</cp:lastModifiedBy>
  <cp:revision>2</cp:revision>
  <dcterms:created xsi:type="dcterms:W3CDTF">2022-09-30T05:42:00Z</dcterms:created>
  <dcterms:modified xsi:type="dcterms:W3CDTF">2022-09-30T05:42:00Z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2022-09-29T14:29:50Z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f4dab977-d2fc-41d1-a9ad-1578402f3af1</vt:lpwstr>
  </property>
  <property fmtid="{D5CDD505-2E9C-101B-9397-08002B2CF9AE}" pid="7" name="MSIP_Label_defa4170-0d19-0005-0004-bc88714345d2_ActionId">
    <vt:lpwstr>9c0c7690-dfb3-4c98-8bcc-b655d94a5118</vt:lpwstr>
  </property>
  <property fmtid="{D5CDD505-2E9C-101B-9397-08002B2CF9AE}" pid="8" name="MSIP_Label_defa4170-0d19-0005-0004-bc88714345d2_ContentBits">
    <vt:lpwstr>0</vt:lpwstr>
  </property>
</Properties>
</file>