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1BD" w:rsidRPr="00BF1FC2" w:rsidRDefault="00BE61BD" w:rsidP="0031496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CC0099"/>
          <w:sz w:val="24"/>
          <w:szCs w:val="24"/>
          <w:u w:val="single"/>
          <w:rtl/>
          <w:lang w:bidi="ar-EG"/>
        </w:rPr>
      </w:pPr>
      <w:r w:rsidRPr="00BF1FC2">
        <w:rPr>
          <w:b/>
          <w:bCs/>
          <w:color w:val="CC0099"/>
          <w:sz w:val="24"/>
          <w:szCs w:val="24"/>
          <w:u w:val="single"/>
        </w:rPr>
        <w:t>Effect of Interleukin-2 L</w:t>
      </w:r>
      <w:r w:rsidRPr="00BF1FC2">
        <w:rPr>
          <w:rFonts w:ascii="Times New Roman" w:hAnsi="Times New Roman"/>
          <w:b/>
          <w:bCs/>
          <w:color w:val="CC0099"/>
          <w:sz w:val="24"/>
          <w:szCs w:val="24"/>
          <w:u w:val="single"/>
        </w:rPr>
        <w:t xml:space="preserve">oaded </w:t>
      </w:r>
      <w:r w:rsidRPr="00BF1FC2">
        <w:rPr>
          <w:b/>
          <w:bCs/>
          <w:color w:val="CC0099"/>
          <w:sz w:val="24"/>
          <w:szCs w:val="24"/>
          <w:u w:val="single"/>
        </w:rPr>
        <w:t>N</w:t>
      </w:r>
      <w:r w:rsidRPr="00BF1FC2">
        <w:rPr>
          <w:rFonts w:ascii="Times New Roman" w:hAnsi="Times New Roman"/>
          <w:b/>
          <w:bCs/>
          <w:color w:val="CC0099"/>
          <w:sz w:val="24"/>
          <w:szCs w:val="24"/>
          <w:u w:val="single"/>
        </w:rPr>
        <w:t xml:space="preserve">anoparticle on NK and T-reg </w:t>
      </w:r>
      <w:r w:rsidRPr="00BF1FC2">
        <w:rPr>
          <w:b/>
          <w:bCs/>
          <w:color w:val="CC0099"/>
          <w:sz w:val="24"/>
          <w:szCs w:val="24"/>
          <w:u w:val="single"/>
        </w:rPr>
        <w:t>Cell</w:t>
      </w:r>
      <w:r w:rsidRPr="00BF1FC2">
        <w:rPr>
          <w:rFonts w:ascii="Times New Roman" w:hAnsi="Times New Roman"/>
          <w:b/>
          <w:bCs/>
          <w:color w:val="CC0099"/>
          <w:sz w:val="24"/>
          <w:szCs w:val="24"/>
          <w:u w:val="single"/>
        </w:rPr>
        <w:t xml:space="preserve"> </w:t>
      </w:r>
      <w:r w:rsidR="00314966">
        <w:rPr>
          <w:b/>
          <w:bCs/>
          <w:color w:val="CC0099"/>
          <w:sz w:val="24"/>
          <w:szCs w:val="24"/>
          <w:u w:val="single"/>
        </w:rPr>
        <w:t xml:space="preserve">  </w:t>
      </w:r>
      <w:r w:rsidRPr="00BF1FC2">
        <w:rPr>
          <w:b/>
          <w:bCs/>
          <w:color w:val="CC0099"/>
          <w:sz w:val="24"/>
          <w:szCs w:val="24"/>
          <w:u w:val="single"/>
        </w:rPr>
        <w:t>E</w:t>
      </w:r>
      <w:r w:rsidRPr="00BF1FC2">
        <w:rPr>
          <w:rFonts w:ascii="Times New Roman" w:hAnsi="Times New Roman"/>
          <w:b/>
          <w:bCs/>
          <w:color w:val="CC0099"/>
          <w:sz w:val="24"/>
          <w:szCs w:val="24"/>
          <w:u w:val="single"/>
        </w:rPr>
        <w:t xml:space="preserve">xpression in </w:t>
      </w:r>
      <w:r w:rsidRPr="00BF1FC2">
        <w:rPr>
          <w:b/>
          <w:bCs/>
          <w:color w:val="CC0099"/>
          <w:sz w:val="24"/>
          <w:szCs w:val="24"/>
          <w:u w:val="single"/>
        </w:rPr>
        <w:t xml:space="preserve">experimentally </w:t>
      </w:r>
      <w:r w:rsidRPr="00BF1FC2">
        <w:rPr>
          <w:rFonts w:ascii="Times New Roman" w:hAnsi="Times New Roman"/>
          <w:b/>
          <w:bCs/>
          <w:color w:val="CC0099"/>
          <w:sz w:val="24"/>
          <w:szCs w:val="24"/>
          <w:u w:val="single"/>
        </w:rPr>
        <w:t xml:space="preserve">induced </w:t>
      </w:r>
      <w:r w:rsidR="00BF1FC2" w:rsidRPr="00BF1FC2">
        <w:rPr>
          <w:rFonts w:ascii="Times New Roman" w:hAnsi="Times New Roman"/>
          <w:b/>
          <w:bCs/>
          <w:color w:val="CC0099"/>
          <w:sz w:val="24"/>
          <w:szCs w:val="24"/>
          <w:u w:val="single"/>
        </w:rPr>
        <w:t xml:space="preserve"> type 1 diabetes melltitus</w:t>
      </w:r>
    </w:p>
    <w:p w:rsidR="004470AD" w:rsidRPr="00BF1FC2" w:rsidRDefault="00827F42" w:rsidP="00BF1FC2">
      <w:pPr>
        <w:spacing w:after="0" w:line="48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hyperlink r:id="rId7" w:history="1">
        <w:r w:rsidR="004470AD" w:rsidRPr="00BF1FC2">
          <w:rPr>
            <w:rStyle w:val="Hyperlink"/>
            <w:rFonts w:ascii="Times New Roman" w:hAnsi="Times New Roman"/>
            <w:b/>
            <w:bCs/>
            <w:i/>
            <w:iCs/>
            <w:color w:val="000000"/>
            <w:u w:val="none"/>
          </w:rPr>
          <w:t>Abo El-Nazar S</w:t>
        </w:r>
      </w:hyperlink>
      <w:r w:rsidR="004470AD" w:rsidRPr="00BF1FC2">
        <w:rPr>
          <w:rFonts w:ascii="Times New Roman" w:hAnsi="Times New Roman"/>
          <w:b/>
          <w:bCs/>
          <w:i/>
          <w:iCs/>
          <w:color w:val="000000"/>
          <w:vertAlign w:val="superscript"/>
        </w:rPr>
        <w:t>1</w:t>
      </w:r>
      <w:r w:rsidR="004470AD" w:rsidRPr="00BF1FC2">
        <w:rPr>
          <w:rFonts w:ascii="Times New Roman" w:hAnsi="Times New Roman"/>
          <w:b/>
          <w:bCs/>
          <w:i/>
          <w:iCs/>
          <w:color w:val="000000"/>
        </w:rPr>
        <w:t xml:space="preserve">, </w:t>
      </w:r>
      <w:hyperlink r:id="rId8" w:history="1">
        <w:r w:rsidR="004470AD" w:rsidRPr="00BF1FC2">
          <w:rPr>
            <w:rStyle w:val="Hyperlink"/>
            <w:rFonts w:ascii="Times New Roman" w:hAnsi="Times New Roman"/>
            <w:b/>
            <w:bCs/>
            <w:i/>
            <w:iCs/>
            <w:color w:val="000000"/>
            <w:u w:val="none"/>
          </w:rPr>
          <w:t>Moaaz M</w:t>
        </w:r>
      </w:hyperlink>
      <w:r w:rsidR="004470AD" w:rsidRPr="00BF1FC2">
        <w:rPr>
          <w:rFonts w:ascii="Times New Roman" w:hAnsi="Times New Roman"/>
          <w:b/>
          <w:bCs/>
          <w:i/>
          <w:iCs/>
          <w:color w:val="000000"/>
          <w:vertAlign w:val="superscript"/>
        </w:rPr>
        <w:t>2</w:t>
      </w:r>
      <w:r w:rsidR="004470AD" w:rsidRPr="00BF1FC2">
        <w:rPr>
          <w:rFonts w:ascii="Times New Roman" w:hAnsi="Times New Roman"/>
          <w:b/>
          <w:bCs/>
          <w:i/>
          <w:iCs/>
          <w:color w:val="000000"/>
        </w:rPr>
        <w:t>,Ghoneim H</w:t>
      </w:r>
      <w:r w:rsidR="004470AD" w:rsidRPr="00BF1FC2">
        <w:rPr>
          <w:rFonts w:ascii="Times New Roman" w:hAnsi="Times New Roman"/>
          <w:b/>
          <w:bCs/>
          <w:i/>
          <w:iCs/>
          <w:color w:val="000000"/>
          <w:vertAlign w:val="superscript"/>
        </w:rPr>
        <w:t>1</w:t>
      </w:r>
      <w:r w:rsidR="004470AD" w:rsidRPr="00BF1FC2">
        <w:rPr>
          <w:rFonts w:ascii="Times New Roman" w:hAnsi="Times New Roman"/>
          <w:b/>
          <w:bCs/>
          <w:i/>
          <w:iCs/>
          <w:color w:val="000000"/>
        </w:rPr>
        <w:t xml:space="preserve">, </w:t>
      </w:r>
      <w:hyperlink r:id="rId9" w:history="1">
        <w:r w:rsidR="004470AD" w:rsidRPr="00BF1FC2">
          <w:rPr>
            <w:rStyle w:val="Hyperlink"/>
            <w:rFonts w:ascii="Times New Roman" w:hAnsi="Times New Roman"/>
            <w:b/>
            <w:bCs/>
            <w:i/>
            <w:iCs/>
            <w:color w:val="000000"/>
            <w:highlight w:val="yellow"/>
            <w:u w:val="none"/>
          </w:rPr>
          <w:t>Soliman E</w:t>
        </w:r>
      </w:hyperlink>
      <w:r w:rsidR="004470AD" w:rsidRPr="00BF1FC2">
        <w:rPr>
          <w:rFonts w:ascii="Times New Roman" w:hAnsi="Times New Roman"/>
          <w:b/>
          <w:bCs/>
          <w:i/>
          <w:iCs/>
          <w:color w:val="000000"/>
          <w:highlight w:val="yellow"/>
          <w:vertAlign w:val="superscript"/>
        </w:rPr>
        <w:t>3</w:t>
      </w:r>
      <w:r w:rsidR="004470AD" w:rsidRPr="00BF1FC2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,</w:t>
      </w:r>
      <w:r w:rsidR="004470AD" w:rsidRPr="00BF1FC2">
        <w:rPr>
          <w:rFonts w:ascii="Times New Roman" w:eastAsia="Times New Roman" w:hAnsi="Times New Roman"/>
          <w:b/>
          <w:bCs/>
          <w:i/>
          <w:iCs/>
          <w:color w:val="000000"/>
        </w:rPr>
        <w:t>Thanaa</w:t>
      </w:r>
      <w:r w:rsidR="004470AD" w:rsidRPr="00BF1FC2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 xml:space="preserve"> S</w:t>
      </w:r>
      <w:r w:rsidR="004470AD" w:rsidRPr="00BF1FC2">
        <w:rPr>
          <w:rFonts w:ascii="Times New Roman" w:hAnsi="Times New Roman"/>
          <w:b/>
          <w:bCs/>
          <w:i/>
          <w:iCs/>
          <w:color w:val="000000"/>
          <w:sz w:val="20"/>
          <w:szCs w:val="20"/>
          <w:vertAlign w:val="superscript"/>
        </w:rPr>
        <w:t>4</w:t>
      </w:r>
      <w:r w:rsidR="004470AD" w:rsidRPr="00BF1FC2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.</w:t>
      </w:r>
    </w:p>
    <w:p w:rsidR="005D0DA6" w:rsidRPr="00BF1FC2" w:rsidRDefault="00BF1FC2" w:rsidP="00BF1F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</w:pPr>
      <w:r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  <w:t>1,</w:t>
      </w:r>
      <w:r w:rsidR="005D0DA6"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  <w:t>2-Department of Immunology and Allergy, Medical Research Institute, Alexandria University , Alexandria , Egypt.</w:t>
      </w:r>
    </w:p>
    <w:p w:rsidR="005D0DA6" w:rsidRPr="00BF1FC2" w:rsidRDefault="00337532" w:rsidP="00BF1F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</w:pPr>
      <w:r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  <w:highlight w:val="yellow"/>
        </w:rPr>
        <w:t xml:space="preserve">3 -Department of </w:t>
      </w:r>
      <w:r w:rsidR="005D0DA6"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  <w:highlight w:val="yellow"/>
        </w:rPr>
        <w:t>Pharmaceutical Science, El-</w:t>
      </w:r>
      <w:r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  <w:highlight w:val="yellow"/>
        </w:rPr>
        <w:t>Maamora Hospital</w:t>
      </w:r>
      <w:r w:rsidR="005D0DA6"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  <w:highlight w:val="yellow"/>
        </w:rPr>
        <w:t>, Alexandria , Egypt.</w:t>
      </w:r>
    </w:p>
    <w:p w:rsidR="005D0DA6" w:rsidRDefault="00337532" w:rsidP="00BF1F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</w:pPr>
      <w:r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  <w:t xml:space="preserve">4-Department of </w:t>
      </w:r>
      <w:r w:rsidR="005D0DA6" w:rsidRPr="00BF1FC2"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  <w:t>Medical Biophysics, Medical Research Institute, University of Alexandria , Alexandria , Egypt.</w:t>
      </w:r>
    </w:p>
    <w:p w:rsidR="00BF1FC2" w:rsidRDefault="00BF1FC2" w:rsidP="00BF1F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5F497A" w:themeColor="accent4" w:themeShade="BF"/>
          <w:sz w:val="18"/>
          <w:szCs w:val="18"/>
        </w:rPr>
      </w:pPr>
    </w:p>
    <w:p w:rsidR="00BF1FC2" w:rsidRPr="00BF1FC2" w:rsidRDefault="00BF1FC2" w:rsidP="00BF1FC2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BF1FC2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cyan"/>
        </w:rPr>
        <w:t>Abstract:</w:t>
      </w:r>
    </w:p>
    <w:p w:rsidR="00BF1FC2" w:rsidRPr="00BF1FC2" w:rsidRDefault="00BF1FC2" w:rsidP="00BF1FC2">
      <w:pPr>
        <w:spacing w:before="240" w:after="100" w:afterAutospacing="1" w:line="240" w:lineRule="auto"/>
        <w:ind w:right="84"/>
        <w:jc w:val="both"/>
        <w:outlineLvl w:val="2"/>
        <w:rPr>
          <w:rFonts w:asciiTheme="majorBidi" w:hAnsiTheme="majorBidi" w:cstheme="majorBidi"/>
          <w:b/>
          <w:bCs/>
          <w:color w:val="FF0000"/>
          <w:sz w:val="20"/>
          <w:szCs w:val="20"/>
        </w:rPr>
      </w:pPr>
      <w:r w:rsidRPr="00BF1FC2">
        <w:rPr>
          <w:rFonts w:asciiTheme="majorBidi" w:hAnsiTheme="majorBidi" w:cstheme="majorBidi"/>
          <w:b/>
          <w:bCs/>
          <w:color w:val="FF0000"/>
          <w:sz w:val="20"/>
          <w:szCs w:val="20"/>
        </w:rPr>
        <w:t>Background and objectives of the investigation</w:t>
      </w:r>
    </w:p>
    <w:p w:rsidR="00BF1FC2" w:rsidRPr="00BF1FC2" w:rsidRDefault="00BF1FC2" w:rsidP="00BF1FC2">
      <w:pPr>
        <w:spacing w:before="240" w:after="100" w:afterAutospacing="1" w:line="240" w:lineRule="auto"/>
        <w:ind w:right="84" w:firstLine="851"/>
        <w:jc w:val="both"/>
        <w:outlineLvl w:val="2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Natural killer cells (NK) initiate pancreatic islets cell lyses in autoimmune type 1 diabetes mellitus (T1D). Loss of T regulatory cells (Treg) at disease onset facilitates activation and accumulation of NKs in the pancreatic microenvironment. A proper low dose interleukin 2 (IL-2) could enhance Tregs and enforce control and regulation of pro-inflammatory NKs. This relation needs to be studied to improve therapeutic strategies aimed at resetting the balance between Tregs and proinflammatory cells.</w:t>
      </w:r>
    </w:p>
    <w:p w:rsidR="00BF1FC2" w:rsidRPr="00BF1FC2" w:rsidRDefault="00BF1FC2" w:rsidP="00BF1FC2">
      <w:pPr>
        <w:spacing w:before="240" w:after="100" w:afterAutospacing="1" w:line="240" w:lineRule="auto"/>
        <w:ind w:right="84"/>
        <w:jc w:val="both"/>
        <w:outlineLvl w:val="2"/>
        <w:rPr>
          <w:rFonts w:asciiTheme="majorBidi" w:hAnsiTheme="majorBidi" w:cstheme="majorBidi"/>
          <w:b/>
          <w:bCs/>
          <w:color w:val="FF0000"/>
          <w:sz w:val="20"/>
          <w:szCs w:val="20"/>
        </w:rPr>
      </w:pPr>
      <w:r w:rsidRPr="00BF1FC2">
        <w:rPr>
          <w:rFonts w:asciiTheme="majorBidi" w:hAnsiTheme="majorBidi" w:cstheme="majorBidi"/>
          <w:b/>
          <w:bCs/>
          <w:color w:val="FF0000"/>
          <w:sz w:val="20"/>
          <w:szCs w:val="20"/>
        </w:rPr>
        <w:t>Methods Experimental methods used</w:t>
      </w:r>
    </w:p>
    <w:p w:rsidR="00BF1FC2" w:rsidRPr="00BF1FC2" w:rsidRDefault="00BF1FC2" w:rsidP="00BF1FC2">
      <w:pPr>
        <w:spacing w:before="240" w:after="100" w:afterAutospacing="1" w:line="240" w:lineRule="auto"/>
        <w:ind w:right="84" w:firstLine="851"/>
        <w:jc w:val="both"/>
        <w:outlineLvl w:val="2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We used novel formulations of low dose IL-2 loaded on Chitosan nanoparticles. The study included 116 T1D BALB/c mice experimentally induced by Streptozotocin, divided into groups. Their splenocytes were maintained in a short-term culture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for assessment of expression of CD4+foxp3+ Treg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and NKp46+NK by both flow cytometry and enzyme linked immunoassay (ELISA). </w:t>
      </w:r>
      <w:r w:rsidRPr="00BF1FC2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In vitro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suppressor-assay was used in order to assess the suppressor effect of Treg cells after exogenous IL-2 treatment.</w:t>
      </w:r>
    </w:p>
    <w:p w:rsidR="00BF1FC2" w:rsidRPr="00BF1FC2" w:rsidRDefault="00BF1FC2" w:rsidP="00BF1FC2">
      <w:pPr>
        <w:spacing w:before="240" w:after="100" w:afterAutospacing="1" w:line="240" w:lineRule="auto"/>
        <w:ind w:right="84"/>
        <w:jc w:val="both"/>
        <w:outlineLvl w:val="2"/>
        <w:rPr>
          <w:rFonts w:asciiTheme="majorBidi" w:hAnsiTheme="majorBidi" w:cstheme="majorBidi"/>
          <w:b/>
          <w:bCs/>
          <w:color w:val="FF0000"/>
          <w:sz w:val="20"/>
          <w:szCs w:val="20"/>
        </w:rPr>
      </w:pPr>
      <w:r w:rsidRPr="00BF1FC2">
        <w:rPr>
          <w:rFonts w:asciiTheme="majorBidi" w:hAnsiTheme="majorBidi" w:cstheme="majorBidi"/>
          <w:b/>
          <w:bCs/>
          <w:color w:val="FF0000"/>
          <w:sz w:val="20"/>
          <w:szCs w:val="20"/>
        </w:rPr>
        <w:t xml:space="preserve">Results </w:t>
      </w:r>
    </w:p>
    <w:p w:rsidR="00BF1FC2" w:rsidRPr="00BF1FC2" w:rsidRDefault="00BF1FC2" w:rsidP="00BF1FC2">
      <w:pPr>
        <w:spacing w:before="240" w:after="100" w:afterAutospacing="1" w:line="240" w:lineRule="auto"/>
        <w:ind w:right="84" w:firstLine="851"/>
        <w:jc w:val="both"/>
        <w:outlineLvl w:val="2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NK cell expression, NKp46 level and NK cell functions were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modulated in mice injected with IL-2 loaded Chitosan nanoparticles than other groups. A statistical inverse correlation was found between Treg and NK cell expression in IL-2 loaded Chitosan with (0.3 µIU)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(</w:t>
      </w:r>
      <w:r w:rsidRPr="00BF1FC2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p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= 0.047) and this correlation was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related to foxp3 expression on Treg cells.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The modified expression of NK and NKp46 was noticed in mice injected with</w:t>
      </w:r>
      <w:r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(0.3 µIU) for longer duration (three weeks) (</w:t>
      </w:r>
      <w:r w:rsidRPr="00BF1FC2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p</w:t>
      </w: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>&lt; 0.001) but the NK functions did not show any significant changes with prolonged treatment.</w:t>
      </w:r>
    </w:p>
    <w:p w:rsidR="00BF1FC2" w:rsidRPr="00BF1FC2" w:rsidRDefault="00BF1FC2" w:rsidP="00BF1FC2">
      <w:pPr>
        <w:spacing w:before="240" w:after="100" w:afterAutospacing="1" w:line="240" w:lineRule="auto"/>
        <w:ind w:right="84"/>
        <w:jc w:val="both"/>
        <w:outlineLvl w:val="2"/>
        <w:rPr>
          <w:rFonts w:asciiTheme="majorBidi" w:hAnsiTheme="majorBidi" w:cstheme="majorBidi"/>
          <w:b/>
          <w:bCs/>
          <w:color w:val="FF0000"/>
          <w:sz w:val="20"/>
          <w:szCs w:val="20"/>
        </w:rPr>
      </w:pPr>
      <w:r w:rsidRPr="00BF1FC2">
        <w:rPr>
          <w:rFonts w:asciiTheme="majorBidi" w:hAnsiTheme="majorBidi" w:cstheme="majorBidi"/>
          <w:b/>
          <w:bCs/>
          <w:color w:val="FF0000"/>
          <w:sz w:val="20"/>
          <w:szCs w:val="20"/>
        </w:rPr>
        <w:t>Conclusions</w:t>
      </w:r>
    </w:p>
    <w:p w:rsidR="00BF1FC2" w:rsidRPr="00BF1FC2" w:rsidRDefault="00BF1FC2" w:rsidP="00BF1FC2">
      <w:pPr>
        <w:spacing w:before="240" w:after="100" w:afterAutospacing="1" w:line="240" w:lineRule="auto"/>
        <w:ind w:right="84" w:firstLine="851"/>
        <w:jc w:val="both"/>
        <w:outlineLvl w:val="2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BF1FC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Low dose (0.3) µIU IL-2 nanoparticles effectively modulated NK and NKp46 expression. It selectively modulates the suppressive activity of Tregs indicating a significant role of Tregs in NK activation and function by controlling the availability of IL-2 in the microenvironment. </w:t>
      </w:r>
    </w:p>
    <w:p w:rsidR="00BF1FC2" w:rsidRPr="00BF1FC2" w:rsidRDefault="00BF1FC2" w:rsidP="00BF1F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5F497A" w:themeColor="accent4" w:themeShade="BF"/>
          <w:sz w:val="16"/>
          <w:szCs w:val="16"/>
        </w:rPr>
      </w:pPr>
      <w:r w:rsidRPr="00BF1FC2">
        <w:rPr>
          <w:rFonts w:asciiTheme="majorBidi" w:hAnsiTheme="majorBidi" w:cstheme="majorBidi"/>
          <w:b/>
          <w:bCs/>
          <w:sz w:val="20"/>
          <w:szCs w:val="20"/>
          <w:highlight w:val="yellow"/>
        </w:rPr>
        <w:t>Key points: Streptozotocin, Natural Killer, T-regulatory, Interleukin-2, BALB/c mice.</w:t>
      </w:r>
    </w:p>
    <w:p w:rsidR="00D54091" w:rsidRDefault="00D54091">
      <w:pPr>
        <w:rPr>
          <w:rtl/>
          <w:lang w:bidi="ar-EG"/>
        </w:rPr>
      </w:pPr>
      <w:bookmarkStart w:id="0" w:name="_GoBack"/>
      <w:bookmarkEnd w:id="0"/>
    </w:p>
    <w:sectPr w:rsidR="00D54091" w:rsidSect="00501617">
      <w:pgSz w:w="11906" w:h="16838"/>
      <w:pgMar w:top="709" w:right="1800" w:bottom="2127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F42" w:rsidRDefault="00827F42" w:rsidP="00472FA2">
      <w:pPr>
        <w:spacing w:after="0" w:line="240" w:lineRule="auto"/>
      </w:pPr>
      <w:r>
        <w:separator/>
      </w:r>
    </w:p>
  </w:endnote>
  <w:endnote w:type="continuationSeparator" w:id="0">
    <w:p w:rsidR="00827F42" w:rsidRDefault="00827F42" w:rsidP="00472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F42" w:rsidRDefault="00827F42" w:rsidP="00472FA2">
      <w:pPr>
        <w:spacing w:after="0" w:line="240" w:lineRule="auto"/>
      </w:pPr>
      <w:r>
        <w:separator/>
      </w:r>
    </w:p>
  </w:footnote>
  <w:footnote w:type="continuationSeparator" w:id="0">
    <w:p w:rsidR="00827F42" w:rsidRDefault="00827F42" w:rsidP="00472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E447D"/>
    <w:multiLevelType w:val="multilevel"/>
    <w:tmpl w:val="7E7A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DA6"/>
    <w:rsid w:val="00144EA8"/>
    <w:rsid w:val="00314966"/>
    <w:rsid w:val="00337532"/>
    <w:rsid w:val="00425AAD"/>
    <w:rsid w:val="0043187B"/>
    <w:rsid w:val="004470AD"/>
    <w:rsid w:val="00472FA2"/>
    <w:rsid w:val="00501617"/>
    <w:rsid w:val="005651DC"/>
    <w:rsid w:val="005A7119"/>
    <w:rsid w:val="005D0DA6"/>
    <w:rsid w:val="00617B29"/>
    <w:rsid w:val="00657BD0"/>
    <w:rsid w:val="006857D5"/>
    <w:rsid w:val="007A287A"/>
    <w:rsid w:val="007B249A"/>
    <w:rsid w:val="00827480"/>
    <w:rsid w:val="00827F42"/>
    <w:rsid w:val="009238FD"/>
    <w:rsid w:val="0097596B"/>
    <w:rsid w:val="00993A90"/>
    <w:rsid w:val="009D4562"/>
    <w:rsid w:val="00BC196D"/>
    <w:rsid w:val="00BE61BD"/>
    <w:rsid w:val="00BF1FC2"/>
    <w:rsid w:val="00BF7ED1"/>
    <w:rsid w:val="00CB4F32"/>
    <w:rsid w:val="00D24C28"/>
    <w:rsid w:val="00D436F2"/>
    <w:rsid w:val="00D54091"/>
    <w:rsid w:val="00DE42CE"/>
    <w:rsid w:val="00E45993"/>
    <w:rsid w:val="00EE1254"/>
    <w:rsid w:val="00EF4177"/>
    <w:rsid w:val="00FC2606"/>
    <w:rsid w:val="00FF2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EF119C"/>
  <w15:docId w15:val="{FAA55330-BECE-43F7-B453-401075BD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DA6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D0DA6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472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72FA2"/>
    <w:rPr>
      <w:rFonts w:ascii="Calibri" w:eastAsia="Calibri" w:hAnsi="Calibri" w:cs="Arial"/>
    </w:rPr>
  </w:style>
  <w:style w:type="paragraph" w:styleId="a4">
    <w:name w:val="footer"/>
    <w:basedOn w:val="a"/>
    <w:link w:val="Char0"/>
    <w:uiPriority w:val="99"/>
    <w:unhideWhenUsed/>
    <w:rsid w:val="00472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72FA2"/>
    <w:rPr>
      <w:rFonts w:ascii="Calibri" w:eastAsia="Calibri" w:hAnsi="Calibri" w:cs="Arial"/>
    </w:rPr>
  </w:style>
  <w:style w:type="paragraph" w:customStyle="1" w:styleId="p">
    <w:name w:val="p"/>
    <w:basedOn w:val="a"/>
    <w:uiPriority w:val="99"/>
    <w:rsid w:val="00472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Moaaz%20M%5BAuthor%5D&amp;cauthor=true&amp;cauthor_uid=2685355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Abo%20El-Nazar%20S%5BAuthor%5D&amp;cauthor=true&amp;cauthor_uid=268535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Soliman%20E%5BAuthor%5D&amp;cauthor=true&amp;cauthor_uid=268535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elnada</dc:creator>
  <cp:lastModifiedBy>hepaeman</cp:lastModifiedBy>
  <cp:revision>2</cp:revision>
  <dcterms:created xsi:type="dcterms:W3CDTF">2020-02-01T06:10:00Z</dcterms:created>
  <dcterms:modified xsi:type="dcterms:W3CDTF">2020-02-01T06:10:00Z</dcterms:modified>
</cp:coreProperties>
</file>