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88F7E" w14:textId="76B009D5" w:rsidR="00D12DEA" w:rsidRPr="00D12DEA" w:rsidRDefault="00D12DEA" w:rsidP="00810408">
      <w:pPr>
        <w:widowControl/>
        <w:spacing w:after="160" w:line="259" w:lineRule="auto"/>
        <w:jc w:val="both"/>
        <w:rPr>
          <w:rFonts w:ascii="Calibri" w:eastAsia="Calibri" w:hAnsi="Calibri" w:cs="Arial"/>
        </w:rPr>
      </w:pPr>
      <w:bookmarkStart w:id="0" w:name="_Hlk127650226"/>
      <w:bookmarkEnd w:id="0"/>
      <w:r w:rsidRPr="00D12DEA">
        <w:rPr>
          <w:rFonts w:ascii="Arial" w:eastAsia="Calibri" w:hAnsi="Arial" w:cs="Arial"/>
          <w:color w:val="548DD4" w:themeColor="text2" w:themeTint="99"/>
          <w:sz w:val="28"/>
          <w:szCs w:val="28"/>
        </w:rPr>
        <w:t>Design and synthesis of new vinyl amide, imidazolone, and triazinone linked -combretastatin analogues</w:t>
      </w:r>
      <w:r w:rsidRPr="00D12DEA">
        <w:rPr>
          <w:rFonts w:ascii="Calibri" w:eastAsia="Calibri" w:hAnsi="Calibri" w:cs="Arial"/>
          <w:color w:val="548DD4" w:themeColor="text2" w:themeTint="99"/>
          <w:sz w:val="28"/>
          <w:szCs w:val="28"/>
        </w:rPr>
        <w:t xml:space="preserve"> </w:t>
      </w:r>
      <w:r w:rsidRPr="00D12DEA">
        <w:rPr>
          <w:rFonts w:ascii="Arial" w:eastAsia="Calibri" w:hAnsi="Arial" w:cs="Arial"/>
          <w:color w:val="548DD4" w:themeColor="text2" w:themeTint="99"/>
          <w:sz w:val="28"/>
          <w:szCs w:val="28"/>
        </w:rPr>
        <w:t>packed on diamond nanoparticles as a panel for boosted solubility and</w:t>
      </w:r>
      <w:r>
        <w:rPr>
          <w:rFonts w:ascii="Calibri" w:eastAsia="Calibri" w:hAnsi="Calibri" w:cs="Arial"/>
          <w:color w:val="548DD4" w:themeColor="text2" w:themeTint="99"/>
          <w:sz w:val="28"/>
          <w:szCs w:val="28"/>
        </w:rPr>
        <w:t xml:space="preserve"> </w:t>
      </w:r>
      <w:r w:rsidRPr="00D12DEA">
        <w:rPr>
          <w:rFonts w:ascii="Arial" w:eastAsia="Calibri" w:hAnsi="Arial" w:cs="Arial"/>
          <w:color w:val="548DD4" w:themeColor="text2" w:themeTint="99"/>
          <w:sz w:val="28"/>
          <w:szCs w:val="28"/>
        </w:rPr>
        <w:t>antiproliferative activity</w:t>
      </w:r>
      <w:r w:rsidRPr="00D12DEA">
        <w:rPr>
          <w:rFonts w:ascii="Arial" w:eastAsia="Calibri" w:hAnsi="Arial" w:cs="Arial"/>
        </w:rPr>
        <w:t xml:space="preserve">. </w:t>
      </w:r>
    </w:p>
    <w:p w14:paraId="2058B379" w14:textId="2E42FFB9" w:rsidR="005973B9" w:rsidRDefault="00C65FE0" w:rsidP="005973B9">
      <w:pPr>
        <w:pStyle w:val="BodyText"/>
        <w:spacing w:before="73" w:line="198" w:lineRule="exact"/>
        <w:ind w:left="100" w:right="5987"/>
        <w:rPr>
          <w:rFonts w:ascii="Arial"/>
        </w:rPr>
      </w:pPr>
      <w:r>
        <w:rPr>
          <w:rFonts w:ascii="Arial"/>
        </w:rPr>
        <w:t>Botros Y. Beshay</w:t>
      </w:r>
      <w:r w:rsidR="005973B9">
        <w:rPr>
          <w:rFonts w:ascii="Arial"/>
        </w:rPr>
        <w:t xml:space="preserve">, PhD, </w:t>
      </w:r>
      <w:r>
        <w:rPr>
          <w:rFonts w:ascii="Arial"/>
        </w:rPr>
        <w:t>College of Pharmacy</w:t>
      </w:r>
      <w:r w:rsidR="005973B9">
        <w:rPr>
          <w:rFonts w:ascii="Arial"/>
        </w:rPr>
        <w:t xml:space="preserve">, </w:t>
      </w:r>
      <w:r>
        <w:rPr>
          <w:rFonts w:ascii="Arial"/>
        </w:rPr>
        <w:t>AASTMT, Egypt.</w:t>
      </w:r>
    </w:p>
    <w:p w14:paraId="05E9E61A" w14:textId="77777777" w:rsidR="00AE3E37" w:rsidRDefault="00AE3E37">
      <w:pPr>
        <w:pStyle w:val="BodyText"/>
        <w:rPr>
          <w:rFonts w:ascii="Arial"/>
          <w:sz w:val="20"/>
        </w:rPr>
      </w:pPr>
    </w:p>
    <w:p w14:paraId="792D2F4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57CEEEC" w14:textId="5EE5A9C3" w:rsidR="00AE3E37" w:rsidRDefault="00A9710C">
      <w:pPr>
        <w:pStyle w:val="Heading3"/>
        <w:spacing w:before="147"/>
        <w:jc w:val="both"/>
      </w:pPr>
      <w:r>
        <w:rPr>
          <w:color w:val="BF5A14"/>
        </w:rPr>
        <w:t>Abstract</w:t>
      </w:r>
      <w:r w:rsidR="00404E5B">
        <w:rPr>
          <w:color w:val="BF5A14"/>
        </w:rPr>
        <w:t xml:space="preserve"> </w:t>
      </w:r>
    </w:p>
    <w:p w14:paraId="34E6AC13" w14:textId="194F4297" w:rsidR="00AE3E37" w:rsidRPr="00C65FE0" w:rsidRDefault="00D12DEA" w:rsidP="00C65FE0">
      <w:pPr>
        <w:spacing w:line="360" w:lineRule="auto"/>
        <w:jc w:val="both"/>
        <w:rPr>
          <w:rFonts w:asciiTheme="minorBidi" w:hAnsiTheme="minorBidi" w:cstheme="minorBidi"/>
          <w:sz w:val="20"/>
          <w:szCs w:val="20"/>
        </w:rPr>
      </w:pPr>
      <w:r w:rsidRPr="00D12DEA">
        <w:rPr>
          <w:rFonts w:asciiTheme="minorBidi" w:hAnsiTheme="minorBidi" w:cstheme="minorBidi"/>
          <w:color w:val="374151"/>
          <w:sz w:val="20"/>
          <w:szCs w:val="20"/>
          <w:shd w:val="clear" w:color="auto" w:fill="F7F7F8"/>
        </w:rPr>
        <w:t>A group of new analogues of combretastatin A-4, which are linked with vinyl amide, imidazolone, and triazinone, were designed and synthesized. The cytotoxic activity of these compounds was tested against MDA-MB-231 breast cancer cells. The triazinone-linked analogues (</w:t>
      </w:r>
      <w:r w:rsidR="00C311AB">
        <w:rPr>
          <w:rFonts w:asciiTheme="minorBidi" w:hAnsiTheme="minorBidi" w:cstheme="minorBidi"/>
          <w:color w:val="374151"/>
          <w:sz w:val="20"/>
          <w:szCs w:val="20"/>
          <w:shd w:val="clear" w:color="auto" w:fill="F7F7F8"/>
        </w:rPr>
        <w:t>6</w:t>
      </w:r>
      <w:r w:rsidRPr="00D12DEA">
        <w:rPr>
          <w:rFonts w:asciiTheme="minorBidi" w:hAnsiTheme="minorBidi" w:cstheme="minorBidi"/>
          <w:color w:val="374151"/>
          <w:sz w:val="20"/>
          <w:szCs w:val="20"/>
          <w:shd w:val="clear" w:color="auto" w:fill="F7F7F8"/>
        </w:rPr>
        <w:t xml:space="preserve"> and </w:t>
      </w:r>
      <w:r w:rsidR="00C311AB">
        <w:rPr>
          <w:rFonts w:asciiTheme="minorBidi" w:hAnsiTheme="minorBidi" w:cstheme="minorBidi"/>
          <w:color w:val="374151"/>
          <w:sz w:val="20"/>
          <w:szCs w:val="20"/>
          <w:shd w:val="clear" w:color="auto" w:fill="F7F7F8"/>
        </w:rPr>
        <w:t>1</w:t>
      </w:r>
      <w:r w:rsidRPr="00D12DEA">
        <w:rPr>
          <w:rFonts w:asciiTheme="minorBidi" w:hAnsiTheme="minorBidi" w:cstheme="minorBidi"/>
          <w:color w:val="374151"/>
          <w:sz w:val="20"/>
          <w:szCs w:val="20"/>
          <w:shd w:val="clear" w:color="auto" w:fill="F7F7F8"/>
        </w:rPr>
        <w:t xml:space="preserve">2) displayed the strongest cytotoxic activity at sub-micromolar concentrations compared to combretastatin A-4, which served as the reference standard. The ability to inhibit b-tubulin polymerization was found to correspond with the results of the b tubulin polymerization inhibition assay. Moreover, the cell cycle aspects and apoptosis induction were evaluated through biological assays for these compounds. Additionally, the most potent compound </w:t>
      </w:r>
      <w:r w:rsidR="00C311AB">
        <w:rPr>
          <w:rFonts w:asciiTheme="minorBidi" w:hAnsiTheme="minorBidi" w:cstheme="minorBidi"/>
          <w:color w:val="374151"/>
          <w:sz w:val="20"/>
          <w:szCs w:val="20"/>
          <w:shd w:val="clear" w:color="auto" w:fill="F7F7F8"/>
        </w:rPr>
        <w:t>6</w:t>
      </w:r>
      <w:r w:rsidRPr="00D12DEA">
        <w:rPr>
          <w:rFonts w:asciiTheme="minorBidi" w:hAnsiTheme="minorBidi" w:cstheme="minorBidi"/>
          <w:color w:val="374151"/>
          <w:sz w:val="20"/>
          <w:szCs w:val="20"/>
          <w:shd w:val="clear" w:color="auto" w:fill="F7F7F8"/>
        </w:rPr>
        <w:t xml:space="preserve"> was loaded onto PEG-PCL modified diamond nanoparticles (PEG-PCL-NDs), and F4 was determined to be the best formula, as it exhibited superior solubility and release compared to the drug suspension. In comparative cytotoxicity testing, PEG-PCL modified F4 reduced the IC50 by around 2.89 times compared to nude F4 and 3.48 times compared to the non-formulated compound </w:t>
      </w:r>
      <w:r w:rsidR="00C311AB">
        <w:rPr>
          <w:rFonts w:asciiTheme="minorBidi" w:hAnsiTheme="minorBidi" w:cstheme="minorBidi"/>
          <w:color w:val="374151"/>
          <w:sz w:val="20"/>
          <w:szCs w:val="20"/>
          <w:shd w:val="clear" w:color="auto" w:fill="F7F7F8"/>
        </w:rPr>
        <w:t>6</w:t>
      </w:r>
      <w:r w:rsidRPr="00D12DEA">
        <w:rPr>
          <w:rFonts w:asciiTheme="minorBidi" w:hAnsiTheme="minorBidi" w:cstheme="minorBidi"/>
          <w:color w:val="374151"/>
          <w:sz w:val="20"/>
          <w:szCs w:val="20"/>
          <w:shd w:val="clear" w:color="auto" w:fill="F7F7F8"/>
        </w:rPr>
        <w:t>.</w:t>
      </w:r>
    </w:p>
    <w:p w14:paraId="106434AA" w14:textId="77777777" w:rsidR="00AE3E37" w:rsidRDefault="00A9710C">
      <w:pPr>
        <w:pStyle w:val="Heading3"/>
        <w:spacing w:before="74"/>
      </w:pPr>
      <w:r>
        <w:rPr>
          <w:b w:val="0"/>
        </w:rPr>
        <w:br w:type="column"/>
      </w:r>
      <w:r>
        <w:rPr>
          <w:color w:val="BF5A14"/>
        </w:rPr>
        <w:t>Image</w:t>
      </w:r>
    </w:p>
    <w:p w14:paraId="6F45167A" w14:textId="694E2964" w:rsidR="00AE3E37" w:rsidRDefault="00C311AB">
      <w:pPr>
        <w:pStyle w:val="BodyText"/>
        <w:spacing w:before="2"/>
        <w:rPr>
          <w:rFonts w:ascii="Arial"/>
          <w:b/>
          <w:sz w:val="16"/>
        </w:rPr>
      </w:pPr>
      <w:r>
        <w:rPr>
          <w:rFonts w:ascii="Arial"/>
          <w:b/>
          <w:noProof/>
          <w:sz w:val="16"/>
        </w:rPr>
        <w:drawing>
          <wp:inline distT="0" distB="0" distL="0" distR="0" wp14:anchorId="7696BEB0" wp14:editId="4CCF14D7">
            <wp:extent cx="3165475" cy="1780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inline>
        </w:drawing>
      </w:r>
    </w:p>
    <w:p w14:paraId="3AB632DF" w14:textId="6E1289E5" w:rsidR="00A16E03" w:rsidRDefault="00C65FE0" w:rsidP="00C65FE0">
      <w:pPr>
        <w:pStyle w:val="BodyText"/>
        <w:spacing w:before="2"/>
        <w:rPr>
          <w:rFonts w:ascii="Arial"/>
          <w:b/>
          <w:sz w:val="16"/>
        </w:rPr>
      </w:pPr>
      <w:r>
        <w:rPr>
          <w:rFonts w:ascii="Arial"/>
          <w:b/>
          <w:sz w:val="16"/>
        </w:rPr>
        <w:t>I &amp;III-</w:t>
      </w:r>
      <w:r w:rsidRPr="00C65FE0">
        <w:rPr>
          <w:rFonts w:ascii="Arial"/>
          <w:bCs/>
          <w:sz w:val="16"/>
        </w:rPr>
        <w:t xml:space="preserve"> Cytotoxic activity against breast MDA-MB-231 cell line</w:t>
      </w:r>
      <w:r>
        <w:rPr>
          <w:rFonts w:ascii="Arial"/>
          <w:bCs/>
          <w:sz w:val="16"/>
        </w:rPr>
        <w:t xml:space="preserve"> and </w:t>
      </w:r>
      <w:r w:rsidRPr="00C65FE0">
        <w:rPr>
          <w:rFonts w:ascii="Arial"/>
          <w:bCs/>
          <w:i/>
          <w:iCs/>
          <w:sz w:val="16"/>
        </w:rPr>
        <w:t>In vi</w:t>
      </w:r>
      <w:r w:rsidRPr="00C65FE0">
        <w:rPr>
          <w:rFonts w:ascii="Arial"/>
          <w:bCs/>
          <w:sz w:val="16"/>
        </w:rPr>
        <w:t xml:space="preserve">tro Tubulin polymerization assay </w:t>
      </w:r>
      <w:r w:rsidR="00A16E03" w:rsidRPr="00C65FE0">
        <w:rPr>
          <w:rFonts w:ascii="Arial"/>
          <w:b/>
          <w:sz w:val="16"/>
        </w:rPr>
        <w:t>II-</w:t>
      </w:r>
      <w:r w:rsidRPr="00C65FE0">
        <w:rPr>
          <w:rFonts w:ascii="Arial"/>
          <w:bCs/>
          <w:sz w:val="16"/>
        </w:rPr>
        <w:t xml:space="preserve"> Molecular modeling of compounds 6 and 12 in 6 (yellow) and 12 (green) in the colchicine-binding pocket of tubulin.</w:t>
      </w:r>
      <w:r w:rsidR="00A16E03" w:rsidRPr="00C65FE0">
        <w:rPr>
          <w:rFonts w:ascii="Arial"/>
          <w:bCs/>
          <w:sz w:val="16"/>
        </w:rPr>
        <w:t xml:space="preserve"> </w:t>
      </w:r>
      <w:r w:rsidR="00A16E03">
        <w:rPr>
          <w:rFonts w:ascii="Arial"/>
          <w:b/>
          <w:sz w:val="16"/>
        </w:rPr>
        <w:t>IV</w:t>
      </w:r>
      <w:r w:rsidRPr="00C65FE0">
        <w:rPr>
          <w:rFonts w:ascii="Arial"/>
          <w:bCs/>
          <w:sz w:val="16"/>
        </w:rPr>
        <w:t>-% of 6 released from the optimized PEG-PCL modified NDs (F4) compared to that of 6 suspensions</w:t>
      </w:r>
      <w:r w:rsidRPr="00C65FE0">
        <w:rPr>
          <w:rFonts w:ascii="Arial"/>
          <w:b/>
          <w:sz w:val="16"/>
        </w:rPr>
        <w:t>.</w:t>
      </w:r>
    </w:p>
    <w:p w14:paraId="487C336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BBE89B2" w14:textId="77777777" w:rsidR="00A16E03" w:rsidRPr="00A16E03" w:rsidRDefault="00A16E03" w:rsidP="00A16E03">
      <w:pPr>
        <w:pStyle w:val="ListParagraph"/>
        <w:numPr>
          <w:ilvl w:val="0"/>
          <w:numId w:val="3"/>
        </w:numPr>
        <w:tabs>
          <w:tab w:val="left" w:pos="384"/>
        </w:tabs>
        <w:spacing w:before="103" w:line="216" w:lineRule="exact"/>
        <w:ind w:right="138"/>
        <w:rPr>
          <w:sz w:val="18"/>
        </w:rPr>
      </w:pPr>
      <w:r w:rsidRPr="00A16E03">
        <w:rPr>
          <w:sz w:val="18"/>
        </w:rPr>
        <w:t xml:space="preserve">Mohamed Y. Zakaria, Shady M. Abd El-Halim, Botros Y. Beshay, Islam </w:t>
      </w:r>
      <w:proofErr w:type="spellStart"/>
      <w:r w:rsidRPr="00A16E03">
        <w:rPr>
          <w:sz w:val="18"/>
        </w:rPr>
        <w:t>Zaki</w:t>
      </w:r>
      <w:proofErr w:type="spellEnd"/>
      <w:r w:rsidRPr="00A16E03">
        <w:rPr>
          <w:sz w:val="18"/>
        </w:rPr>
        <w:t xml:space="preserve"> &amp; Mohammed A.S </w:t>
      </w:r>
      <w:proofErr w:type="spellStart"/>
      <w:r w:rsidRPr="00A16E03">
        <w:rPr>
          <w:sz w:val="18"/>
        </w:rPr>
        <w:t>Abourehab</w:t>
      </w:r>
      <w:proofErr w:type="spellEnd"/>
      <w:r w:rsidRPr="00A16E03">
        <w:rPr>
          <w:sz w:val="18"/>
        </w:rPr>
        <w:t xml:space="preserve">, "Poly phenolic </w:t>
      </w:r>
      <w:proofErr w:type="spellStart"/>
      <w:r w:rsidRPr="00A16E03">
        <w:rPr>
          <w:sz w:val="18"/>
        </w:rPr>
        <w:t>phytoceutical</w:t>
      </w:r>
      <w:proofErr w:type="spellEnd"/>
      <w:r w:rsidRPr="00A16E03">
        <w:rPr>
          <w:sz w:val="18"/>
        </w:rPr>
        <w:t xml:space="preserve"> loaded </w:t>
      </w:r>
      <w:proofErr w:type="spellStart"/>
      <w:r w:rsidRPr="00A16E03">
        <w:rPr>
          <w:sz w:val="18"/>
        </w:rPr>
        <w:t>nanobilosomes</w:t>
      </w:r>
      <w:proofErr w:type="spellEnd"/>
      <w:r w:rsidRPr="00A16E03">
        <w:rPr>
          <w:sz w:val="18"/>
        </w:rPr>
        <w:t xml:space="preserve"> for enhanced caco-2 cell permeability and SARS-</w:t>
      </w:r>
      <w:proofErr w:type="spellStart"/>
      <w:r w:rsidRPr="00A16E03">
        <w:rPr>
          <w:sz w:val="18"/>
        </w:rPr>
        <w:t>CoV</w:t>
      </w:r>
      <w:proofErr w:type="spellEnd"/>
      <w:r w:rsidRPr="00A16E03">
        <w:rPr>
          <w:sz w:val="18"/>
        </w:rPr>
        <w:t xml:space="preserve"> 2 antiviral activity’: in-vitro and </w:t>
      </w:r>
      <w:proofErr w:type="spellStart"/>
      <w:r w:rsidRPr="00A16E03">
        <w:rPr>
          <w:sz w:val="18"/>
        </w:rPr>
        <w:t>insilico</w:t>
      </w:r>
      <w:proofErr w:type="spellEnd"/>
      <w:r w:rsidRPr="00A16E03">
        <w:rPr>
          <w:sz w:val="18"/>
        </w:rPr>
        <w:t xml:space="preserve"> study</w:t>
      </w:r>
      <w:proofErr w:type="gramStart"/>
      <w:r w:rsidRPr="00A16E03">
        <w:rPr>
          <w:sz w:val="18"/>
        </w:rPr>
        <w:t>" ,</w:t>
      </w:r>
      <w:proofErr w:type="gramEnd"/>
      <w:r w:rsidRPr="00A16E03">
        <w:rPr>
          <w:sz w:val="18"/>
        </w:rPr>
        <w:t xml:space="preserve"> Drug Delivery, 30:1 , 2023.  </w:t>
      </w:r>
    </w:p>
    <w:p w14:paraId="67B54AD4" w14:textId="77777777" w:rsidR="00A16E03" w:rsidRPr="00A16E03" w:rsidRDefault="00A16E03" w:rsidP="00A16E03">
      <w:pPr>
        <w:pStyle w:val="ListParagraph"/>
        <w:numPr>
          <w:ilvl w:val="0"/>
          <w:numId w:val="3"/>
        </w:numPr>
        <w:tabs>
          <w:tab w:val="left" w:pos="384"/>
        </w:tabs>
        <w:spacing w:before="103" w:line="216" w:lineRule="exact"/>
        <w:ind w:right="138"/>
        <w:rPr>
          <w:sz w:val="18"/>
        </w:rPr>
      </w:pPr>
      <w:r w:rsidRPr="00A16E03">
        <w:rPr>
          <w:sz w:val="18"/>
        </w:rPr>
        <w:t>Anwer, K.E. El-Sattar, N.E.A.A. Shamaa, M.M. Zakaria, M.Y. Beshay, B.Y., "Design, Green Synthesis and Tailoring of Vitamin E TPGS Augmented Niosomal Nano-Carrier of Pyrazolopyrimidines as Potential Anti-Liver and Breast Cancer Agents with Accentuated Oral Bioavailability</w:t>
      </w:r>
      <w:proofErr w:type="gramStart"/>
      <w:r w:rsidRPr="00A16E03">
        <w:rPr>
          <w:sz w:val="18"/>
        </w:rPr>
        <w:t>" ,</w:t>
      </w:r>
      <w:proofErr w:type="gramEnd"/>
      <w:r w:rsidRPr="00A16E03">
        <w:rPr>
          <w:sz w:val="18"/>
        </w:rPr>
        <w:t xml:space="preserve"> Pharmaceuticals 2022, 15, 330 , 2022. </w:t>
      </w:r>
    </w:p>
    <w:p w14:paraId="59C14840"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8F65B5E" w14:textId="5F4897D8" w:rsidR="00A16E03" w:rsidRPr="00A16E03" w:rsidRDefault="00A16E03" w:rsidP="00A16E03">
      <w:pPr>
        <w:pStyle w:val="ListParagraph"/>
        <w:numPr>
          <w:ilvl w:val="0"/>
          <w:numId w:val="3"/>
        </w:numPr>
        <w:tabs>
          <w:tab w:val="left" w:pos="384"/>
        </w:tabs>
        <w:spacing w:before="103" w:line="216" w:lineRule="exact"/>
        <w:ind w:right="138"/>
        <w:rPr>
          <w:sz w:val="18"/>
        </w:rPr>
      </w:pPr>
      <w:r w:rsidRPr="00A16E03">
        <w:rPr>
          <w:sz w:val="18"/>
        </w:rPr>
        <w:t xml:space="preserve">Islam </w:t>
      </w:r>
      <w:proofErr w:type="spellStart"/>
      <w:r w:rsidRPr="00A16E03">
        <w:rPr>
          <w:sz w:val="18"/>
        </w:rPr>
        <w:t>Zaki</w:t>
      </w:r>
      <w:proofErr w:type="spellEnd"/>
      <w:r w:rsidRPr="00A16E03">
        <w:rPr>
          <w:sz w:val="18"/>
        </w:rPr>
        <w:t xml:space="preserve">, Amal M. Y. Moustafa, Botros Y. Beshay, </w:t>
      </w:r>
      <w:proofErr w:type="spellStart"/>
      <w:r w:rsidRPr="00A16E03">
        <w:rPr>
          <w:sz w:val="18"/>
        </w:rPr>
        <w:t>Reham</w:t>
      </w:r>
      <w:proofErr w:type="spellEnd"/>
      <w:r w:rsidRPr="00A16E03">
        <w:rPr>
          <w:sz w:val="18"/>
        </w:rPr>
        <w:t xml:space="preserve"> E. Masoud, Mohammed A. I. </w:t>
      </w:r>
      <w:proofErr w:type="spellStart"/>
      <w:r w:rsidRPr="00A16E03">
        <w:rPr>
          <w:sz w:val="18"/>
        </w:rPr>
        <w:t>Elbastawesy</w:t>
      </w:r>
      <w:proofErr w:type="spellEnd"/>
      <w:r w:rsidRPr="00A16E03">
        <w:rPr>
          <w:sz w:val="18"/>
        </w:rPr>
        <w:t xml:space="preserve">, Mohammed A. S. </w:t>
      </w:r>
      <w:proofErr w:type="spellStart"/>
      <w:r w:rsidRPr="00A16E03">
        <w:rPr>
          <w:sz w:val="18"/>
        </w:rPr>
        <w:t>Abourehab</w:t>
      </w:r>
      <w:proofErr w:type="spellEnd"/>
      <w:r w:rsidRPr="00A16E03">
        <w:rPr>
          <w:sz w:val="18"/>
        </w:rPr>
        <w:t xml:space="preserve">, and Mohamed Y. Zakaria, "Design and synthesis of new </w:t>
      </w:r>
      <w:proofErr w:type="spellStart"/>
      <w:r w:rsidRPr="00A16E03">
        <w:rPr>
          <w:sz w:val="18"/>
        </w:rPr>
        <w:t>trimethoxylphenyl</w:t>
      </w:r>
      <w:proofErr w:type="spellEnd"/>
      <w:r w:rsidRPr="00A16E03">
        <w:rPr>
          <w:sz w:val="18"/>
        </w:rPr>
        <w:t>-linked combretastatin analogues loaded on diamond nanoparticles as a panel for ameliorated solubility and antiproliferative activity</w:t>
      </w:r>
      <w:proofErr w:type="gramStart"/>
      <w:r w:rsidRPr="00A16E03">
        <w:rPr>
          <w:sz w:val="18"/>
        </w:rPr>
        <w:t>" ,</w:t>
      </w:r>
      <w:proofErr w:type="gramEnd"/>
      <w:r w:rsidRPr="00A16E03">
        <w:rPr>
          <w:sz w:val="18"/>
        </w:rPr>
        <w:t xml:space="preserve"> OURNAL OF ENZYME INHIBITION and MEDICINAL CHEMISTRY 2022, VOL. 37, NO. 1, 2679–2701 (2022) .  </w:t>
      </w:r>
    </w:p>
    <w:p w14:paraId="5E1BF146" w14:textId="77777777" w:rsidR="00A16E03" w:rsidRPr="00A16E03" w:rsidRDefault="00A16E03" w:rsidP="00A16E03">
      <w:pPr>
        <w:pStyle w:val="ListParagraph"/>
        <w:numPr>
          <w:ilvl w:val="0"/>
          <w:numId w:val="3"/>
        </w:numPr>
        <w:tabs>
          <w:tab w:val="left" w:pos="384"/>
        </w:tabs>
        <w:spacing w:before="103" w:line="216" w:lineRule="exact"/>
        <w:ind w:right="138"/>
        <w:rPr>
          <w:sz w:val="18"/>
        </w:rPr>
      </w:pPr>
      <w:proofErr w:type="spellStart"/>
      <w:r w:rsidRPr="00A16E03">
        <w:rPr>
          <w:sz w:val="18"/>
        </w:rPr>
        <w:t>Girma</w:t>
      </w:r>
      <w:proofErr w:type="spellEnd"/>
      <w:r w:rsidRPr="00A16E03">
        <w:rPr>
          <w:sz w:val="18"/>
        </w:rPr>
        <w:t xml:space="preserve"> </w:t>
      </w:r>
      <w:proofErr w:type="spellStart"/>
      <w:r w:rsidRPr="00A16E03">
        <w:rPr>
          <w:sz w:val="18"/>
        </w:rPr>
        <w:t>Worku</w:t>
      </w:r>
      <w:proofErr w:type="spellEnd"/>
      <w:r w:rsidRPr="00A16E03">
        <w:rPr>
          <w:sz w:val="18"/>
        </w:rPr>
        <w:t xml:space="preserve"> </w:t>
      </w:r>
      <w:proofErr w:type="spellStart"/>
      <w:r w:rsidRPr="00A16E03">
        <w:rPr>
          <w:sz w:val="18"/>
        </w:rPr>
        <w:t>Seifu</w:t>
      </w:r>
      <w:proofErr w:type="spellEnd"/>
      <w:r w:rsidRPr="00A16E03">
        <w:rPr>
          <w:sz w:val="18"/>
        </w:rPr>
        <w:t xml:space="preserve">, </w:t>
      </w:r>
      <w:proofErr w:type="spellStart"/>
      <w:r w:rsidRPr="00A16E03">
        <w:rPr>
          <w:sz w:val="18"/>
        </w:rPr>
        <w:t>Yihenew</w:t>
      </w:r>
      <w:proofErr w:type="spellEnd"/>
      <w:r w:rsidRPr="00A16E03">
        <w:rPr>
          <w:sz w:val="18"/>
        </w:rPr>
        <w:t xml:space="preserve"> </w:t>
      </w:r>
      <w:proofErr w:type="spellStart"/>
      <w:r w:rsidRPr="00A16E03">
        <w:rPr>
          <w:sz w:val="18"/>
        </w:rPr>
        <w:t>Simegniew</w:t>
      </w:r>
      <w:proofErr w:type="spellEnd"/>
      <w:r w:rsidRPr="00A16E03">
        <w:rPr>
          <w:sz w:val="18"/>
        </w:rPr>
        <w:t xml:space="preserve"> </w:t>
      </w:r>
      <w:proofErr w:type="spellStart"/>
      <w:r w:rsidRPr="00A16E03">
        <w:rPr>
          <w:sz w:val="18"/>
        </w:rPr>
        <w:t>Birhan</w:t>
      </w:r>
      <w:proofErr w:type="spellEnd"/>
      <w:r w:rsidRPr="00A16E03">
        <w:rPr>
          <w:sz w:val="18"/>
        </w:rPr>
        <w:t xml:space="preserve">, Botros Youssef Beshay, </w:t>
      </w:r>
      <w:proofErr w:type="spellStart"/>
      <w:r w:rsidRPr="00A16E03">
        <w:rPr>
          <w:sz w:val="18"/>
        </w:rPr>
        <w:t>Ariaya</w:t>
      </w:r>
      <w:proofErr w:type="spellEnd"/>
      <w:r w:rsidRPr="00A16E03">
        <w:rPr>
          <w:sz w:val="18"/>
        </w:rPr>
        <w:t xml:space="preserve"> </w:t>
      </w:r>
      <w:proofErr w:type="spellStart"/>
      <w:r w:rsidRPr="00A16E03">
        <w:rPr>
          <w:sz w:val="18"/>
        </w:rPr>
        <w:t>Hymete</w:t>
      </w:r>
      <w:proofErr w:type="spellEnd"/>
      <w:r w:rsidRPr="00A16E03">
        <w:rPr>
          <w:sz w:val="18"/>
        </w:rPr>
        <w:t xml:space="preserve"> and Adnan Ahmed </w:t>
      </w:r>
      <w:proofErr w:type="spellStart"/>
      <w:r w:rsidRPr="00A16E03">
        <w:rPr>
          <w:sz w:val="18"/>
        </w:rPr>
        <w:t>Bekhit</w:t>
      </w:r>
      <w:proofErr w:type="spellEnd"/>
      <w:r w:rsidRPr="00A16E03">
        <w:rPr>
          <w:sz w:val="18"/>
        </w:rPr>
        <w:t>, "Synthesis, antimalarial, antileishmanial evaluation, and molecular docking study of some 3-aryl-2-styryl substituted-4(3H)-quinazolinone derivatives</w:t>
      </w:r>
      <w:proofErr w:type="gramStart"/>
      <w:r w:rsidRPr="00A16E03">
        <w:rPr>
          <w:sz w:val="18"/>
        </w:rPr>
        <w:t>" ,</w:t>
      </w:r>
      <w:proofErr w:type="gramEnd"/>
      <w:r w:rsidRPr="00A16E03">
        <w:rPr>
          <w:sz w:val="18"/>
        </w:rPr>
        <w:t xml:space="preserve"> BMC Chemistry 16, 107 (2022) , 2022.  </w:t>
      </w:r>
    </w:p>
    <w:p w14:paraId="7103F93F" w14:textId="66C87B9E" w:rsidR="00A16E03" w:rsidRDefault="00A16E03" w:rsidP="00A16E03">
      <w:pPr>
        <w:pStyle w:val="ListParagraph"/>
        <w:numPr>
          <w:ilvl w:val="0"/>
          <w:numId w:val="3"/>
        </w:numPr>
        <w:tabs>
          <w:tab w:val="left" w:pos="384"/>
        </w:tabs>
        <w:spacing w:before="103" w:line="216" w:lineRule="exact"/>
        <w:ind w:right="138"/>
        <w:rPr>
          <w:sz w:val="18"/>
        </w:rPr>
      </w:pPr>
      <w:r w:rsidRPr="00A16E03">
        <w:rPr>
          <w:sz w:val="18"/>
        </w:rPr>
        <w:t xml:space="preserve">Botros Y. Beshay, Amira A. </w:t>
      </w:r>
      <w:proofErr w:type="spellStart"/>
      <w:r w:rsidRPr="00A16E03">
        <w:rPr>
          <w:sz w:val="18"/>
        </w:rPr>
        <w:t>Abdellatef</w:t>
      </w:r>
      <w:proofErr w:type="spellEnd"/>
      <w:r w:rsidRPr="00A16E03">
        <w:rPr>
          <w:sz w:val="18"/>
        </w:rPr>
        <w:t xml:space="preserve">, Yasser M. </w:t>
      </w:r>
      <w:proofErr w:type="spellStart"/>
      <w:r w:rsidRPr="00A16E03">
        <w:rPr>
          <w:sz w:val="18"/>
        </w:rPr>
        <w:t>Loksha</w:t>
      </w:r>
      <w:proofErr w:type="spellEnd"/>
      <w:r w:rsidRPr="00A16E03">
        <w:rPr>
          <w:sz w:val="18"/>
        </w:rPr>
        <w:t xml:space="preserve">, </w:t>
      </w:r>
      <w:proofErr w:type="spellStart"/>
      <w:r w:rsidRPr="00A16E03">
        <w:rPr>
          <w:sz w:val="18"/>
        </w:rPr>
        <w:t>Salwa</w:t>
      </w:r>
      <w:proofErr w:type="spellEnd"/>
      <w:r w:rsidRPr="00A16E03">
        <w:rPr>
          <w:sz w:val="18"/>
        </w:rPr>
        <w:t xml:space="preserve"> M. Fahmy d, </w:t>
      </w:r>
      <w:proofErr w:type="spellStart"/>
      <w:r w:rsidRPr="00A16E03">
        <w:rPr>
          <w:sz w:val="18"/>
        </w:rPr>
        <w:t>Nargues</w:t>
      </w:r>
      <w:proofErr w:type="spellEnd"/>
      <w:r w:rsidRPr="00A16E03">
        <w:rPr>
          <w:sz w:val="18"/>
        </w:rPr>
        <w:t xml:space="preserve"> S. Habib, Alaa El-Din. </w:t>
      </w:r>
      <w:proofErr w:type="spellStart"/>
      <w:r w:rsidRPr="00A16E03">
        <w:rPr>
          <w:sz w:val="18"/>
        </w:rPr>
        <w:t>Bekhit</w:t>
      </w:r>
      <w:proofErr w:type="spellEnd"/>
      <w:r w:rsidRPr="00A16E03">
        <w:rPr>
          <w:sz w:val="18"/>
        </w:rPr>
        <w:t xml:space="preserve">, Paris E. </w:t>
      </w:r>
      <w:proofErr w:type="spellStart"/>
      <w:r w:rsidRPr="00A16E03">
        <w:rPr>
          <w:sz w:val="18"/>
        </w:rPr>
        <w:t>Georghiou</w:t>
      </w:r>
      <w:proofErr w:type="spellEnd"/>
      <w:r w:rsidRPr="00A16E03">
        <w:rPr>
          <w:sz w:val="18"/>
        </w:rPr>
        <w:t xml:space="preserve">, Yoshihiro Hayakawa, Adnan A. </w:t>
      </w:r>
      <w:proofErr w:type="spellStart"/>
      <w:r w:rsidRPr="00A16E03">
        <w:rPr>
          <w:sz w:val="18"/>
        </w:rPr>
        <w:t>Bekhitd</w:t>
      </w:r>
      <w:proofErr w:type="spellEnd"/>
      <w:r w:rsidRPr="00A16E03">
        <w:rPr>
          <w:sz w:val="18"/>
        </w:rPr>
        <w:t>., "Design and synthesis of 2-Substituted-4-benzyl-5-methylimidazoles as new potential Anti-breast cancer agents to inhibit oncogenic STAT3 functions</w:t>
      </w:r>
      <w:proofErr w:type="gramStart"/>
      <w:r w:rsidRPr="00A16E03">
        <w:rPr>
          <w:sz w:val="18"/>
        </w:rPr>
        <w:t>" ,</w:t>
      </w:r>
      <w:proofErr w:type="gramEnd"/>
      <w:r w:rsidRPr="00A16E03">
        <w:rPr>
          <w:sz w:val="18"/>
        </w:rPr>
        <w:t xml:space="preserve"> </w:t>
      </w:r>
      <w:proofErr w:type="spellStart"/>
      <w:r w:rsidRPr="00A16E03">
        <w:rPr>
          <w:sz w:val="18"/>
        </w:rPr>
        <w:t>Biorganic</w:t>
      </w:r>
      <w:proofErr w:type="spellEnd"/>
      <w:r w:rsidRPr="00A16E03">
        <w:rPr>
          <w:sz w:val="18"/>
        </w:rPr>
        <w:t xml:space="preserve"> Chemistry Journal,113, 105033 , 2021.</w:t>
      </w:r>
    </w:p>
    <w:p w14:paraId="0DCB2461" w14:textId="04637151" w:rsidR="00A16E03" w:rsidRPr="00C65FE0" w:rsidRDefault="00C65FE0" w:rsidP="00C65FE0">
      <w:pPr>
        <w:pStyle w:val="ListParagraph"/>
        <w:numPr>
          <w:ilvl w:val="0"/>
          <w:numId w:val="3"/>
        </w:numPr>
        <w:tabs>
          <w:tab w:val="left" w:pos="384"/>
        </w:tabs>
        <w:spacing w:before="103" w:line="216" w:lineRule="exact"/>
        <w:ind w:right="138"/>
        <w:rPr>
          <w:sz w:val="18"/>
        </w:rPr>
      </w:pPr>
      <w:r w:rsidRPr="00A16E03">
        <w:rPr>
          <w:sz w:val="18"/>
        </w:rPr>
        <w:t xml:space="preserve">Paris E. </w:t>
      </w:r>
      <w:proofErr w:type="spellStart"/>
      <w:r w:rsidRPr="00A16E03">
        <w:rPr>
          <w:sz w:val="18"/>
        </w:rPr>
        <w:t>Georghiou</w:t>
      </w:r>
      <w:proofErr w:type="spellEnd"/>
      <w:r w:rsidRPr="00A16E03">
        <w:rPr>
          <w:sz w:val="18"/>
        </w:rPr>
        <w:t xml:space="preserve">, Joseph H. </w:t>
      </w:r>
      <w:proofErr w:type="spellStart"/>
      <w:r w:rsidRPr="00A16E03">
        <w:rPr>
          <w:sz w:val="18"/>
        </w:rPr>
        <w:t>Banoub</w:t>
      </w:r>
      <w:proofErr w:type="spellEnd"/>
      <w:r w:rsidRPr="00A16E03">
        <w:rPr>
          <w:sz w:val="18"/>
        </w:rPr>
        <w:t xml:space="preserve"> and Botros Y. </w:t>
      </w:r>
      <w:proofErr w:type="gramStart"/>
      <w:r w:rsidRPr="00A16E03">
        <w:rPr>
          <w:sz w:val="18"/>
        </w:rPr>
        <w:t>Beshay ,</w:t>
      </w:r>
      <w:proofErr w:type="gramEnd"/>
      <w:r>
        <w:rPr>
          <w:sz w:val="18"/>
        </w:rPr>
        <w:t xml:space="preserve"> </w:t>
      </w:r>
      <w:r w:rsidRPr="00A16E03">
        <w:rPr>
          <w:sz w:val="18"/>
        </w:rPr>
        <w:t xml:space="preserve">"Inclusion of a Phytomedicinal Flavonoid in Biocompatible Surface-Modified Chylomicron Mimic Nanovesicles with Improved Oral Bioavailability and Virucidal Activity: Molecular Modeling and Pharmacodynamic Studies" , Pharmaceutics 2022, 14, 905 , 2022.  </w:t>
      </w:r>
    </w:p>
    <w:p w14:paraId="27D1DC1F" w14:textId="566D2EE1" w:rsidR="00A16E03" w:rsidRDefault="00C65FE0">
      <w:pPr>
        <w:pStyle w:val="BodyText"/>
        <w:rPr>
          <w:rFonts w:ascii="Calibri"/>
          <w:sz w:val="20"/>
        </w:rPr>
      </w:pPr>
      <w:r>
        <w:rPr>
          <w:rFonts w:ascii="Times New Roman" w:hAnsi="Times New Roman" w:cs="Times New Roman"/>
          <w:noProof/>
          <w:sz w:val="24"/>
          <w:szCs w:val="24"/>
        </w:rPr>
        <mc:AlternateContent>
          <mc:Choice Requires="wps">
            <w:drawing>
              <wp:anchor distT="0" distB="0" distL="114300" distR="114300" simplePos="0" relativeHeight="251661824" behindDoc="0" locked="0" layoutInCell="1" allowOverlap="1" wp14:anchorId="7050C4E9" wp14:editId="7CAE0F9C">
                <wp:simplePos x="0" y="0"/>
                <wp:positionH relativeFrom="column">
                  <wp:posOffset>5549900</wp:posOffset>
                </wp:positionH>
                <wp:positionV relativeFrom="paragraph">
                  <wp:posOffset>76200</wp:posOffset>
                </wp:positionV>
                <wp:extent cx="1092835" cy="844550"/>
                <wp:effectExtent l="19050" t="19050" r="12065" b="1270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835" cy="8445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3A0B27E" w14:textId="4A2906B9" w:rsidR="00A52075" w:rsidRDefault="00C65FE0" w:rsidP="00A52075">
                            <w:pPr>
                              <w:rPr>
                                <w:b/>
                                <w:color w:val="0000FF"/>
                                <w:lang w:val="en-IN"/>
                              </w:rPr>
                            </w:pPr>
                            <w:r w:rsidRPr="00197206">
                              <w:rPr>
                                <w:b/>
                                <w:noProof/>
                              </w:rPr>
                              <w:drawing>
                                <wp:inline distT="0" distB="0" distL="0" distR="0" wp14:anchorId="22F3D461" wp14:editId="32F3E40D">
                                  <wp:extent cx="768187" cy="673100"/>
                                  <wp:effectExtent l="0" t="0" r="0" b="0"/>
                                  <wp:docPr id="1" name="Picture 1" descr="H:\New folder (2)\DSC_0574_resize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New folder (2)\DSC_0574_resize_resiz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223" cy="68452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50C4E9" id="Rounded Rectangle 2" o:spid="_x0000_s1026" style="position:absolute;margin-left:437pt;margin-top:6pt;width:86.05pt;height:6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" strokecolor="#9bbb59" strokeweight="2.5pt">
                <v:shadow color="#868686"/>
                <v:textbox>
                  <w:txbxContent>
                    <w:p w14:paraId="23A0B27E" w14:textId="4A2906B9" w:rsidR="00A52075" w:rsidRDefault="00C65FE0" w:rsidP="00A52075">
                      <w:pPr>
                        <w:rPr>
                          <w:b/>
                          <w:color w:val="0000FF"/>
                          <w:lang w:val="en-IN"/>
                        </w:rPr>
                      </w:pPr>
                      <w:r w:rsidRPr="00197206">
                        <w:rPr>
                          <w:b/>
                          <w:noProof/>
                        </w:rPr>
                        <w:drawing>
                          <wp:inline distT="0" distB="0" distL="0" distR="0" wp14:anchorId="22F3D461" wp14:editId="32F3E40D">
                            <wp:extent cx="768187" cy="673100"/>
                            <wp:effectExtent l="0" t="0" r="0" b="0"/>
                            <wp:docPr id="1" name="Picture 1" descr="H:\New folder (2)\DSC_0574_resize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New folder (2)\DSC_0574_resize_resiz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223" cy="684522"/>
                                    </a:xfrm>
                                    <a:prstGeom prst="rect">
                                      <a:avLst/>
                                    </a:prstGeom>
                                    <a:noFill/>
                                    <a:ln>
                                      <a:noFill/>
                                    </a:ln>
                                  </pic:spPr>
                                </pic:pic>
                              </a:graphicData>
                            </a:graphic>
                          </wp:inline>
                        </w:drawing>
                      </w:r>
                    </w:p>
                  </w:txbxContent>
                </v:textbox>
              </v:roundrect>
            </w:pict>
          </mc:Fallback>
        </mc:AlternateContent>
      </w:r>
    </w:p>
    <w:p w14:paraId="2BF7C13C" w14:textId="68C130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61CC18B" wp14:editId="093D273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748AE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DEAF685" w14:textId="018F0F6C" w:rsidR="00C65FE0" w:rsidRDefault="00C65FE0">
      <w:pPr>
        <w:pStyle w:val="BodyText"/>
        <w:spacing w:line="40" w:lineRule="exact"/>
        <w:ind w:left="2202"/>
        <w:rPr>
          <w:rFonts w:ascii="Calibri"/>
          <w:sz w:val="4"/>
        </w:rPr>
      </w:pPr>
    </w:p>
    <w:p w14:paraId="3DE7F634" w14:textId="06DCEFA0" w:rsidR="00C65FE0" w:rsidRDefault="00C65FE0">
      <w:pPr>
        <w:pStyle w:val="BodyText"/>
        <w:spacing w:line="40" w:lineRule="exact"/>
        <w:ind w:left="2202"/>
        <w:rPr>
          <w:rFonts w:ascii="Calibri"/>
          <w:sz w:val="4"/>
        </w:rPr>
      </w:pPr>
    </w:p>
    <w:p w14:paraId="64E19295" w14:textId="7B0E418E" w:rsidR="00C65FE0" w:rsidRDefault="00C65FE0">
      <w:pPr>
        <w:pStyle w:val="BodyText"/>
        <w:spacing w:line="40" w:lineRule="exact"/>
        <w:ind w:left="2202"/>
        <w:rPr>
          <w:rFonts w:ascii="Calibri"/>
          <w:sz w:val="4"/>
        </w:rPr>
      </w:pPr>
    </w:p>
    <w:p w14:paraId="5DBD7D8C" w14:textId="49863F46" w:rsidR="00C65FE0" w:rsidRDefault="00C65FE0">
      <w:pPr>
        <w:pStyle w:val="BodyText"/>
        <w:spacing w:line="40" w:lineRule="exact"/>
        <w:ind w:left="2202"/>
        <w:rPr>
          <w:rFonts w:ascii="Calibri"/>
          <w:sz w:val="4"/>
        </w:rPr>
      </w:pPr>
    </w:p>
    <w:p w14:paraId="3E362AFC" w14:textId="24248802" w:rsidR="00C65FE0" w:rsidRDefault="00C65FE0">
      <w:pPr>
        <w:pStyle w:val="BodyText"/>
        <w:spacing w:line="40" w:lineRule="exact"/>
        <w:ind w:left="2202"/>
        <w:rPr>
          <w:rFonts w:ascii="Calibri"/>
          <w:sz w:val="4"/>
        </w:rPr>
      </w:pPr>
    </w:p>
    <w:p w14:paraId="28827F48" w14:textId="24BB6ACE" w:rsidR="00C65FE0" w:rsidRDefault="00C65FE0">
      <w:pPr>
        <w:pStyle w:val="BodyText"/>
        <w:spacing w:line="40" w:lineRule="exact"/>
        <w:ind w:left="2202"/>
        <w:rPr>
          <w:rFonts w:ascii="Calibri"/>
          <w:sz w:val="4"/>
        </w:rPr>
      </w:pPr>
    </w:p>
    <w:p w14:paraId="44FD1C54" w14:textId="3D34A4E6" w:rsidR="00C65FE0" w:rsidRDefault="00C65FE0">
      <w:pPr>
        <w:pStyle w:val="BodyText"/>
        <w:spacing w:line="40" w:lineRule="exact"/>
        <w:ind w:left="2202"/>
        <w:rPr>
          <w:rFonts w:ascii="Calibri"/>
          <w:sz w:val="4"/>
        </w:rPr>
      </w:pPr>
    </w:p>
    <w:p w14:paraId="27A6D1FD" w14:textId="45D2A6DC" w:rsidR="00C65FE0" w:rsidRDefault="00C65FE0">
      <w:pPr>
        <w:pStyle w:val="BodyText"/>
        <w:spacing w:line="40" w:lineRule="exact"/>
        <w:ind w:left="2202"/>
        <w:rPr>
          <w:rFonts w:ascii="Calibri"/>
          <w:sz w:val="4"/>
        </w:rPr>
      </w:pPr>
    </w:p>
    <w:p w14:paraId="3D58187E" w14:textId="77B07A0E" w:rsidR="00C65FE0" w:rsidRDefault="00C65FE0">
      <w:pPr>
        <w:pStyle w:val="BodyText"/>
        <w:spacing w:line="40" w:lineRule="exact"/>
        <w:ind w:left="2202"/>
        <w:rPr>
          <w:rFonts w:ascii="Calibri"/>
          <w:sz w:val="4"/>
        </w:rPr>
      </w:pPr>
    </w:p>
    <w:p w14:paraId="48475496" w14:textId="7384CEBD" w:rsidR="00C65FE0" w:rsidRDefault="00C65FE0">
      <w:pPr>
        <w:pStyle w:val="BodyText"/>
        <w:spacing w:line="40" w:lineRule="exact"/>
        <w:ind w:left="2202"/>
        <w:rPr>
          <w:rFonts w:ascii="Calibri"/>
          <w:sz w:val="4"/>
        </w:rPr>
      </w:pPr>
    </w:p>
    <w:p w14:paraId="48FC171B" w14:textId="0A0F36C3" w:rsidR="00C65FE0" w:rsidRDefault="00C65FE0">
      <w:pPr>
        <w:pStyle w:val="BodyText"/>
        <w:spacing w:line="40" w:lineRule="exact"/>
        <w:ind w:left="2202"/>
        <w:rPr>
          <w:rFonts w:ascii="Calibri"/>
          <w:sz w:val="4"/>
        </w:rPr>
      </w:pPr>
    </w:p>
    <w:p w14:paraId="04B4830D" w14:textId="1C1443A5" w:rsidR="00C65FE0" w:rsidRDefault="00C65FE0">
      <w:pPr>
        <w:pStyle w:val="BodyText"/>
        <w:spacing w:line="40" w:lineRule="exact"/>
        <w:ind w:left="2202"/>
        <w:rPr>
          <w:rFonts w:ascii="Calibri"/>
          <w:sz w:val="4"/>
        </w:rPr>
      </w:pPr>
    </w:p>
    <w:p w14:paraId="5073D414" w14:textId="069BD385" w:rsidR="00C65FE0" w:rsidRDefault="00C65FE0">
      <w:pPr>
        <w:pStyle w:val="BodyText"/>
        <w:spacing w:line="40" w:lineRule="exact"/>
        <w:ind w:left="2202"/>
        <w:rPr>
          <w:rFonts w:ascii="Calibri"/>
          <w:sz w:val="4"/>
        </w:rPr>
      </w:pPr>
    </w:p>
    <w:p w14:paraId="230E3709" w14:textId="73622411" w:rsidR="00C65FE0" w:rsidRDefault="00C65FE0">
      <w:pPr>
        <w:pStyle w:val="BodyText"/>
        <w:spacing w:line="40" w:lineRule="exact"/>
        <w:ind w:left="2202"/>
        <w:rPr>
          <w:rFonts w:ascii="Calibri"/>
          <w:sz w:val="4"/>
        </w:rPr>
      </w:pPr>
    </w:p>
    <w:p w14:paraId="170E8B2D" w14:textId="23FDFF83" w:rsidR="00C65FE0" w:rsidRDefault="00C65FE0">
      <w:pPr>
        <w:pStyle w:val="BodyText"/>
        <w:spacing w:line="40" w:lineRule="exact"/>
        <w:ind w:left="2202"/>
        <w:rPr>
          <w:rFonts w:ascii="Calibri"/>
          <w:sz w:val="4"/>
        </w:rPr>
      </w:pPr>
    </w:p>
    <w:p w14:paraId="624006F9" w14:textId="4D587C1C" w:rsidR="00C65FE0" w:rsidRDefault="00C65FE0">
      <w:pPr>
        <w:pStyle w:val="BodyText"/>
        <w:spacing w:line="40" w:lineRule="exact"/>
        <w:ind w:left="2202"/>
        <w:rPr>
          <w:rFonts w:ascii="Calibri"/>
          <w:sz w:val="4"/>
        </w:rPr>
      </w:pPr>
    </w:p>
    <w:p w14:paraId="569E2F76" w14:textId="0D8FB449" w:rsidR="00C65FE0" w:rsidRDefault="00C65FE0">
      <w:pPr>
        <w:pStyle w:val="BodyText"/>
        <w:spacing w:line="40" w:lineRule="exact"/>
        <w:ind w:left="2202"/>
        <w:rPr>
          <w:rFonts w:ascii="Calibri"/>
          <w:sz w:val="4"/>
        </w:rPr>
      </w:pPr>
    </w:p>
    <w:p w14:paraId="5D041601" w14:textId="00CD1B21" w:rsidR="00C65FE0" w:rsidRDefault="00C65FE0">
      <w:pPr>
        <w:pStyle w:val="BodyText"/>
        <w:spacing w:line="40" w:lineRule="exact"/>
        <w:ind w:left="2202"/>
        <w:rPr>
          <w:rFonts w:ascii="Calibri"/>
          <w:sz w:val="4"/>
        </w:rPr>
      </w:pPr>
    </w:p>
    <w:p w14:paraId="2DE982F0" w14:textId="77777777" w:rsidR="00C65FE0" w:rsidRDefault="00C65FE0">
      <w:pPr>
        <w:pStyle w:val="BodyText"/>
        <w:spacing w:line="40" w:lineRule="exact"/>
        <w:ind w:left="2202"/>
        <w:rPr>
          <w:rFonts w:ascii="Calibri"/>
          <w:sz w:val="4"/>
        </w:rPr>
      </w:pPr>
    </w:p>
    <w:p w14:paraId="6EB3CC58" w14:textId="02B34BCD" w:rsidR="00C65FE0" w:rsidRDefault="00C65FE0">
      <w:pPr>
        <w:pStyle w:val="BodyText"/>
        <w:spacing w:line="40" w:lineRule="exact"/>
        <w:ind w:left="2202"/>
        <w:rPr>
          <w:rFonts w:ascii="Calibri"/>
          <w:sz w:val="4"/>
        </w:rPr>
      </w:pPr>
    </w:p>
    <w:p w14:paraId="336FA674" w14:textId="77777777" w:rsidR="00C65FE0" w:rsidRDefault="00C65FE0">
      <w:pPr>
        <w:pStyle w:val="BodyText"/>
        <w:spacing w:line="40" w:lineRule="exact"/>
        <w:ind w:left="2202"/>
        <w:rPr>
          <w:rFonts w:ascii="Calibri"/>
          <w:sz w:val="4"/>
        </w:rPr>
      </w:pPr>
    </w:p>
    <w:p w14:paraId="5ABCD6D0" w14:textId="0E79FE88"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1989D65C" w14:textId="4CF125DA" w:rsidR="00AE3E37" w:rsidRDefault="00A16E03" w:rsidP="00A16E03">
      <w:pPr>
        <w:spacing w:before="41" w:line="154" w:lineRule="exact"/>
        <w:ind w:left="213" w:right="231"/>
        <w:jc w:val="both"/>
        <w:rPr>
          <w:rFonts w:ascii="Arial"/>
          <w:sz w:val="14"/>
        </w:rPr>
      </w:pPr>
      <w:r w:rsidRPr="00A16E03">
        <w:rPr>
          <w:rFonts w:ascii="Arial"/>
          <w:sz w:val="14"/>
        </w:rPr>
        <w:t xml:space="preserve">Botros Y. Beshay is a young researcher who is currently an assistant professor of Medicinal Chemistry, college of pharmacy, AAST. He has started his academic career as an Organic Chemistry demonstrator at Faculty of Pharmacy, Sinai University since 2009. He has obtained his Ph.D. degree in Pharmaceutical Chemistry in September, 2019, from the Faculty of Pharmacy, faculty of Pharmacy, Alexandria University. He graduated at Jun. 2008 from Faculty of Pharmacy, Asyut University with a general grade </w:t>
      </w:r>
      <w:r w:rsidRPr="00A16E03">
        <w:rPr>
          <w:rFonts w:ascii="Arial"/>
          <w:sz w:val="14"/>
        </w:rPr>
        <w:t>“</w:t>
      </w:r>
      <w:r w:rsidRPr="00A16E03">
        <w:rPr>
          <w:rFonts w:ascii="Arial"/>
          <w:sz w:val="14"/>
        </w:rPr>
        <w:t>excellent with honor and ranked 9th</w:t>
      </w:r>
      <w:r w:rsidRPr="00A16E03">
        <w:rPr>
          <w:rFonts w:ascii="Arial"/>
          <w:sz w:val="14"/>
        </w:rPr>
        <w:t>”</w:t>
      </w:r>
      <w:r w:rsidRPr="00A16E03">
        <w:rPr>
          <w:rFonts w:ascii="Arial"/>
          <w:sz w:val="14"/>
        </w:rPr>
        <w:t xml:space="preserve"> He is interested in Drug design and discovery fields where he has Designed novel ligands with promising biological activity as anticancer, antibacterial, antifungal and </w:t>
      </w:r>
      <w:proofErr w:type="spellStart"/>
      <w:r w:rsidRPr="00A16E03">
        <w:rPr>
          <w:rFonts w:ascii="Arial"/>
          <w:sz w:val="14"/>
        </w:rPr>
        <w:t>anti HIV</w:t>
      </w:r>
      <w:proofErr w:type="spellEnd"/>
      <w:r w:rsidRPr="00A16E03">
        <w:rPr>
          <w:rFonts w:ascii="Arial"/>
          <w:sz w:val="14"/>
        </w:rPr>
        <w:t xml:space="preserve"> agents using different molecular modelling techniques. He has a good experience on handling with different drug design software such as Discovery Studio, SYBYL, MOE, GOLD, PYMOL and </w:t>
      </w:r>
      <w:proofErr w:type="spellStart"/>
      <w:r w:rsidRPr="00A16E03">
        <w:rPr>
          <w:rFonts w:ascii="Arial"/>
          <w:sz w:val="14"/>
        </w:rPr>
        <w:t>Autodock</w:t>
      </w:r>
      <w:proofErr w:type="spellEnd"/>
    </w:p>
    <w:p w14:paraId="045DC929" w14:textId="688B8F13" w:rsidR="00A16E03" w:rsidRPr="00C65FE0" w:rsidRDefault="00A9710C" w:rsidP="00C65FE0">
      <w:pPr>
        <w:spacing w:before="62"/>
        <w:ind w:left="4217" w:right="4235"/>
        <w:jc w:val="center"/>
        <w:rPr>
          <w:rFonts w:ascii="Arial"/>
          <w:sz w:val="14"/>
        </w:rPr>
      </w:pPr>
      <w:r>
        <w:rPr>
          <w:rFonts w:ascii="Arial"/>
          <w:sz w:val="14"/>
        </w:rPr>
        <w:lastRenderedPageBreak/>
        <w:t xml:space="preserve">Email: </w:t>
      </w:r>
      <w:r w:rsidR="00A16E03" w:rsidRPr="00A16E03">
        <w:rPr>
          <w:rFonts w:ascii="Arial"/>
          <w:sz w:val="14"/>
        </w:rPr>
        <w:t>botros_beshay@aast.ed</w:t>
      </w:r>
      <w:r w:rsidR="00292ED9">
        <w:rPr>
          <w:noProof/>
        </w:rPr>
        <mc:AlternateContent>
          <mc:Choice Requires="wps">
            <w:drawing>
              <wp:anchor distT="0" distB="0" distL="0" distR="0" simplePos="0" relativeHeight="251653632" behindDoc="0" locked="0" layoutInCell="1" allowOverlap="1" wp14:anchorId="0B3928B8" wp14:editId="2ADBDF4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733C9" id="Line 3"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r w:rsidR="00C65FE0">
        <w:rPr>
          <w:rFonts w:ascii="Arial"/>
          <w:sz w:val="14"/>
        </w:rPr>
        <w:t>u</w:t>
      </w:r>
    </w:p>
    <w:p w14:paraId="5E08A2D2" w14:textId="77777777" w:rsidR="00A16E03" w:rsidRDefault="00A16E03">
      <w:pPr>
        <w:pStyle w:val="BodyText"/>
        <w:spacing w:before="7"/>
        <w:rPr>
          <w:rFonts w:ascii="Arial"/>
          <w:sz w:val="29"/>
        </w:rPr>
      </w:pPr>
    </w:p>
    <w:p w14:paraId="5687E366" w14:textId="3A499980" w:rsidR="00EA7D51" w:rsidRDefault="00A9710C" w:rsidP="00A16E03">
      <w:pPr>
        <w:spacing w:before="39"/>
        <w:ind w:left="100"/>
        <w:rPr>
          <w:rFonts w:ascii="Minion Pro"/>
          <w:b/>
          <w:sz w:val="20"/>
        </w:rPr>
      </w:pPr>
      <w:r w:rsidRPr="00B21A57">
        <w:rPr>
          <w:rFonts w:ascii="Minion Pro"/>
          <w:b/>
          <w:sz w:val="20"/>
        </w:rPr>
        <w:t>Notes/Comments:</w:t>
      </w:r>
    </w:p>
    <w:p w14:paraId="362BAB0E" w14:textId="77777777" w:rsidR="00EA7D51" w:rsidRDefault="00EA7D51" w:rsidP="000534A1">
      <w:pPr>
        <w:spacing w:before="39"/>
        <w:ind w:left="100"/>
        <w:rPr>
          <w:rFonts w:ascii="Minion Pro"/>
          <w:b/>
          <w:sz w:val="20"/>
        </w:rPr>
      </w:pPr>
    </w:p>
    <w:p w14:paraId="444DFA3F" w14:textId="23573449"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A16E03">
        <w:rPr>
          <w:sz w:val="20"/>
          <w:szCs w:val="20"/>
          <w:lang w:val="en-NZ"/>
        </w:rPr>
        <w:t xml:space="preserve">Botros Youssef </w:t>
      </w:r>
      <w:proofErr w:type="spellStart"/>
      <w:r w:rsidR="00A16E03">
        <w:rPr>
          <w:sz w:val="20"/>
          <w:szCs w:val="20"/>
          <w:lang w:val="en-NZ"/>
        </w:rPr>
        <w:t>Gaballah</w:t>
      </w:r>
      <w:proofErr w:type="spellEnd"/>
      <w:r w:rsidR="00A16E03">
        <w:rPr>
          <w:sz w:val="20"/>
          <w:szCs w:val="20"/>
          <w:lang w:val="en-NZ"/>
        </w:rPr>
        <w:t xml:space="preserve"> Beshay</w:t>
      </w:r>
      <w:r w:rsidRPr="00F35A62">
        <w:rPr>
          <w:sz w:val="20"/>
          <w:szCs w:val="20"/>
          <w:lang w:val="en-NZ"/>
        </w:rPr>
        <w:br/>
        <w:t>Contact number:</w:t>
      </w:r>
      <w:r w:rsidR="00A16E03">
        <w:rPr>
          <w:sz w:val="20"/>
          <w:szCs w:val="20"/>
          <w:lang w:val="en-NZ"/>
        </w:rPr>
        <w:t xml:space="preserve"> +2 01007650839</w:t>
      </w:r>
      <w:r w:rsidRPr="00F35A62">
        <w:rPr>
          <w:sz w:val="20"/>
          <w:szCs w:val="20"/>
          <w:lang w:val="en-NZ"/>
        </w:rPr>
        <w:br/>
        <w:t>Twitter account:</w:t>
      </w:r>
      <w:r w:rsidR="00A16E03">
        <w:rPr>
          <w:sz w:val="20"/>
          <w:szCs w:val="20"/>
          <w:lang w:val="en-NZ"/>
        </w:rPr>
        <w:t xml:space="preserve"> -</w:t>
      </w:r>
      <w:r w:rsidRPr="00F35A62">
        <w:rPr>
          <w:sz w:val="20"/>
          <w:szCs w:val="20"/>
          <w:lang w:val="en-NZ"/>
        </w:rPr>
        <w:br/>
        <w:t>Linked In account:</w:t>
      </w:r>
      <w:r w:rsidR="00A16E03">
        <w:rPr>
          <w:sz w:val="20"/>
          <w:szCs w:val="20"/>
          <w:lang w:val="en-NZ"/>
        </w:rPr>
        <w:t xml:space="preserve"> -</w:t>
      </w:r>
    </w:p>
    <w:p w14:paraId="7C44E381" w14:textId="62330F2B" w:rsidR="00EA7D51" w:rsidRPr="00A16E03" w:rsidRDefault="00EA7D51" w:rsidP="00A16E03">
      <w:pPr>
        <w:autoSpaceDE w:val="0"/>
        <w:autoSpaceDN w:val="0"/>
        <w:adjustRightInd w:val="0"/>
        <w:rPr>
          <w:sz w:val="20"/>
          <w:szCs w:val="20"/>
          <w:lang w:val="en-NZ"/>
        </w:rPr>
        <w:sectPr w:rsidR="00EA7D51" w:rsidRPr="00A16E03"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(Oral presentation/ </w:t>
      </w:r>
      <w:r w:rsidRPr="00A16E03">
        <w:rPr>
          <w:b/>
          <w:bCs/>
          <w:color w:val="548DD4" w:themeColor="text2" w:themeTint="99"/>
          <w:sz w:val="20"/>
          <w:szCs w:val="20"/>
          <w:u w:val="single"/>
          <w:lang w:val="en-NZ"/>
        </w:rPr>
        <w:t>Poster presentation</w:t>
      </w:r>
      <w:r w:rsidRPr="00F35A62">
        <w:rPr>
          <w:sz w:val="20"/>
          <w:szCs w:val="20"/>
          <w:lang w:val="en-NZ"/>
        </w:rPr>
        <w:t>)</w:t>
      </w:r>
      <w:r w:rsidRPr="00F35A62">
        <w:rPr>
          <w:sz w:val="20"/>
          <w:szCs w:val="20"/>
          <w:lang w:val="en-NZ"/>
        </w:rPr>
        <w:br/>
      </w:r>
    </w:p>
    <w:p w14:paraId="79D8BD3A"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1AEC9" w14:textId="77777777" w:rsidR="009264B7" w:rsidRDefault="009264B7">
      <w:r>
        <w:separator/>
      </w:r>
    </w:p>
  </w:endnote>
  <w:endnote w:type="continuationSeparator" w:id="0">
    <w:p w14:paraId="2AD713D4" w14:textId="77777777" w:rsidR="009264B7" w:rsidRDefault="0092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9B00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05B1FFD" wp14:editId="12E6F48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04C32" w14:textId="77777777" w:rsidR="00AE3E37" w:rsidRPr="00D12DEA" w:rsidRDefault="00A9710C">
                          <w:pPr>
                            <w:spacing w:line="184" w:lineRule="exact"/>
                            <w:ind w:left="20" w:right="-12"/>
                            <w:rPr>
                              <w:rFonts w:ascii="Arial"/>
                              <w:color w:val="FFFFFF"/>
                              <w:sz w:val="16"/>
                            </w:rPr>
                          </w:pPr>
                          <w:r w:rsidRPr="00D12DEA">
                            <w:rPr>
                              <w:rFonts w:ascii="Arial"/>
                              <w:color w:val="FFFFFF"/>
                              <w:sz w:val="16"/>
                            </w:rPr>
                            <w:t>J Pain Relief</w:t>
                          </w:r>
                        </w:p>
                        <w:p w14:paraId="28D7D91B" w14:textId="77777777" w:rsidR="00AE3E37" w:rsidRPr="00D12DEA" w:rsidRDefault="00A9710C">
                          <w:pPr>
                            <w:spacing w:before="8"/>
                            <w:ind w:left="20" w:right="-12"/>
                            <w:rPr>
                              <w:rFonts w:ascii="Arial"/>
                              <w:color w:val="FFFFFF"/>
                              <w:sz w:val="16"/>
                            </w:rPr>
                          </w:pPr>
                          <w:r w:rsidRPr="00D12DEA">
                            <w:rPr>
                              <w:rFonts w:ascii="Arial"/>
                              <w:color w:val="FFFFFF"/>
                              <w:sz w:val="16"/>
                            </w:rPr>
                            <w:t xml:space="preserve">ISSN: 2167-0846 JPAR an open access </w:t>
                          </w:r>
                          <w:proofErr w:type="spellStart"/>
                          <w:r w:rsidRPr="00D12DEA">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5B1FFD"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5E04C32" w14:textId="77777777" w:rsidR="00AE3E37" w:rsidRPr="00D12DEA" w:rsidRDefault="00A9710C">
                    <w:pPr>
                      <w:spacing w:line="184" w:lineRule="exact"/>
                      <w:ind w:left="20" w:right="-12"/>
                      <w:rPr>
                        <w:rFonts w:ascii="Arial"/>
                        <w:color w:val="FFFFFF"/>
                        <w:sz w:val="16"/>
                      </w:rPr>
                    </w:pPr>
                    <w:r w:rsidRPr="00D12DEA">
                      <w:rPr>
                        <w:rFonts w:ascii="Arial"/>
                        <w:color w:val="FFFFFF"/>
                        <w:sz w:val="16"/>
                      </w:rPr>
                      <w:t>J Pain Relief</w:t>
                    </w:r>
                  </w:p>
                  <w:p w14:paraId="28D7D91B" w14:textId="77777777" w:rsidR="00AE3E37" w:rsidRPr="00D12DEA" w:rsidRDefault="00A9710C">
                    <w:pPr>
                      <w:spacing w:before="8"/>
                      <w:ind w:left="20" w:right="-12"/>
                      <w:rPr>
                        <w:rFonts w:ascii="Arial"/>
                        <w:color w:val="FFFFFF"/>
                        <w:sz w:val="16"/>
                      </w:rPr>
                    </w:pPr>
                    <w:r w:rsidRPr="00D12DEA">
                      <w:rPr>
                        <w:rFonts w:ascii="Arial"/>
                        <w:color w:val="FFFFFF"/>
                        <w:sz w:val="16"/>
                      </w:rPr>
                      <w:t xml:space="preserve">ISSN: 2167-0846 JPAR an open access </w:t>
                    </w:r>
                    <w:proofErr w:type="spellStart"/>
                    <w:r w:rsidRPr="00D12DEA">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14044D9" wp14:editId="599E163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85FE9" w14:textId="77777777" w:rsidR="00AE3E37" w:rsidRPr="00D12DEA" w:rsidRDefault="00A9710C">
                          <w:pPr>
                            <w:spacing w:line="269" w:lineRule="exact"/>
                            <w:jc w:val="center"/>
                            <w:rPr>
                              <w:rFonts w:ascii="Impact"/>
                              <w:color w:val="FFFFFF"/>
                              <w:sz w:val="24"/>
                            </w:rPr>
                          </w:pPr>
                          <w:r w:rsidRPr="00D12DEA">
                            <w:rPr>
                              <w:rFonts w:ascii="Impact"/>
                              <w:color w:val="FFFFFF"/>
                              <w:sz w:val="24"/>
                            </w:rPr>
                            <w:t>Fibromyalgia 2016</w:t>
                          </w:r>
                        </w:p>
                        <w:p w14:paraId="61D44EFA" w14:textId="77777777" w:rsidR="00AE3E37" w:rsidRPr="00D12DEA" w:rsidRDefault="00A9710C">
                          <w:pPr>
                            <w:spacing w:before="29"/>
                            <w:jc w:val="center"/>
                            <w:rPr>
                              <w:rFonts w:ascii="Arial"/>
                              <w:color w:val="FFFFFF"/>
                              <w:sz w:val="16"/>
                            </w:rPr>
                          </w:pPr>
                          <w:r w:rsidRPr="00D12DEA">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044D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3885FE9" w14:textId="77777777" w:rsidR="00AE3E37" w:rsidRPr="00D12DEA" w:rsidRDefault="00A9710C">
                    <w:pPr>
                      <w:spacing w:line="269" w:lineRule="exact"/>
                      <w:jc w:val="center"/>
                      <w:rPr>
                        <w:rFonts w:ascii="Impact"/>
                        <w:color w:val="FFFFFF"/>
                        <w:sz w:val="24"/>
                      </w:rPr>
                    </w:pPr>
                    <w:r w:rsidRPr="00D12DEA">
                      <w:rPr>
                        <w:rFonts w:ascii="Impact"/>
                        <w:color w:val="FFFFFF"/>
                        <w:sz w:val="24"/>
                      </w:rPr>
                      <w:t>Fibromyalgia 2016</w:t>
                    </w:r>
                  </w:p>
                  <w:p w14:paraId="61D44EFA" w14:textId="77777777" w:rsidR="00AE3E37" w:rsidRPr="00D12DEA" w:rsidRDefault="00A9710C">
                    <w:pPr>
                      <w:spacing w:before="29"/>
                      <w:jc w:val="center"/>
                      <w:rPr>
                        <w:rFonts w:ascii="Arial"/>
                        <w:color w:val="FFFFFF"/>
                        <w:sz w:val="16"/>
                      </w:rPr>
                    </w:pPr>
                    <w:r w:rsidRPr="00D12DEA">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C63C15" wp14:editId="6FFBA2C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C964D" w14:textId="77777777" w:rsidR="00AE3E37" w:rsidRPr="00D12DEA" w:rsidRDefault="00A9710C">
                          <w:pPr>
                            <w:spacing w:line="184" w:lineRule="exact"/>
                            <w:ind w:right="18"/>
                            <w:jc w:val="right"/>
                            <w:rPr>
                              <w:rFonts w:ascii="Arial"/>
                              <w:color w:val="FFFFFF"/>
                              <w:sz w:val="16"/>
                            </w:rPr>
                          </w:pPr>
                          <w:r w:rsidRPr="00D12DEA">
                            <w:rPr>
                              <w:rFonts w:ascii="Arial"/>
                              <w:color w:val="FFFFFF"/>
                              <w:sz w:val="16"/>
                            </w:rPr>
                            <w:t>Volume 5, Issue 3(Suppl)</w:t>
                          </w:r>
                        </w:p>
                        <w:p w14:paraId="1C2ED54D" w14:textId="77777777" w:rsidR="00AE3E37" w:rsidRPr="00D12DEA" w:rsidRDefault="00A9710C">
                          <w:pPr>
                            <w:spacing w:before="116"/>
                            <w:ind w:right="18"/>
                            <w:jc w:val="right"/>
                            <w:rPr>
                              <w:rFonts w:ascii="Minion Pro"/>
                              <w:color w:val="FFFFFF"/>
                              <w:sz w:val="16"/>
                            </w:rPr>
                          </w:pPr>
                          <w:r w:rsidRPr="00D12DEA">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63C1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34C964D" w14:textId="77777777" w:rsidR="00AE3E37" w:rsidRPr="00D12DEA" w:rsidRDefault="00A9710C">
                    <w:pPr>
                      <w:spacing w:line="184" w:lineRule="exact"/>
                      <w:ind w:right="18"/>
                      <w:jc w:val="right"/>
                      <w:rPr>
                        <w:rFonts w:ascii="Arial"/>
                        <w:color w:val="FFFFFF"/>
                        <w:sz w:val="16"/>
                      </w:rPr>
                    </w:pPr>
                    <w:r w:rsidRPr="00D12DEA">
                      <w:rPr>
                        <w:rFonts w:ascii="Arial"/>
                        <w:color w:val="FFFFFF"/>
                        <w:sz w:val="16"/>
                      </w:rPr>
                      <w:t>Volume 5, Issue 3(Suppl)</w:t>
                    </w:r>
                  </w:p>
                  <w:p w14:paraId="1C2ED54D" w14:textId="77777777" w:rsidR="00AE3E37" w:rsidRPr="00D12DEA" w:rsidRDefault="00A9710C">
                    <w:pPr>
                      <w:spacing w:before="116"/>
                      <w:ind w:right="18"/>
                      <w:jc w:val="right"/>
                      <w:rPr>
                        <w:rFonts w:ascii="Minion Pro"/>
                        <w:color w:val="FFFFFF"/>
                        <w:sz w:val="16"/>
                      </w:rPr>
                    </w:pPr>
                    <w:r w:rsidRPr="00D12DEA">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423FB" w14:textId="77777777" w:rsidR="009264B7" w:rsidRDefault="009264B7">
      <w:r>
        <w:separator/>
      </w:r>
    </w:p>
  </w:footnote>
  <w:footnote w:type="continuationSeparator" w:id="0">
    <w:p w14:paraId="6E5BC2BE" w14:textId="77777777" w:rsidR="009264B7" w:rsidRDefault="00926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AC6486E"/>
    <w:multiLevelType w:val="hybridMultilevel"/>
    <w:tmpl w:val="F0DE2DAA"/>
    <w:lvl w:ilvl="0" w:tplc="E1C84C2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5ACB55C3"/>
    <w:multiLevelType w:val="hybridMultilevel"/>
    <w:tmpl w:val="7EDE6B1A"/>
    <w:lvl w:ilvl="0" w:tplc="FFFFFFFF">
      <w:start w:val="1"/>
      <w:numFmt w:val="decimal"/>
      <w:lvlText w:val="%1."/>
      <w:lvlJc w:val="left"/>
      <w:pPr>
        <w:ind w:left="383" w:hanging="284"/>
      </w:pPr>
      <w:rPr>
        <w:rFonts w:ascii="Calibri" w:eastAsia="Calibri" w:hAnsi="Calibri" w:cs="Calibri" w:hint="default"/>
        <w:spacing w:val="-16"/>
        <w:w w:val="100"/>
        <w:sz w:val="18"/>
        <w:szCs w:val="18"/>
      </w:rPr>
    </w:lvl>
    <w:lvl w:ilvl="1" w:tplc="FFFFFFFF">
      <w:start w:val="1"/>
      <w:numFmt w:val="bullet"/>
      <w:lvlText w:val="•"/>
      <w:lvlJc w:val="left"/>
      <w:pPr>
        <w:ind w:left="877" w:hanging="284"/>
      </w:pPr>
      <w:rPr>
        <w:rFonts w:hint="default"/>
      </w:rPr>
    </w:lvl>
    <w:lvl w:ilvl="2" w:tplc="FFFFFFFF">
      <w:start w:val="1"/>
      <w:numFmt w:val="bullet"/>
      <w:lvlText w:val="•"/>
      <w:lvlJc w:val="left"/>
      <w:pPr>
        <w:ind w:left="1374" w:hanging="284"/>
      </w:pPr>
      <w:rPr>
        <w:rFonts w:hint="default"/>
      </w:rPr>
    </w:lvl>
    <w:lvl w:ilvl="3" w:tplc="FFFFFFFF">
      <w:start w:val="1"/>
      <w:numFmt w:val="bullet"/>
      <w:lvlText w:val="•"/>
      <w:lvlJc w:val="left"/>
      <w:pPr>
        <w:ind w:left="1871" w:hanging="284"/>
      </w:pPr>
      <w:rPr>
        <w:rFonts w:hint="default"/>
      </w:rPr>
    </w:lvl>
    <w:lvl w:ilvl="4" w:tplc="FFFFFFFF">
      <w:start w:val="1"/>
      <w:numFmt w:val="bullet"/>
      <w:lvlText w:val="•"/>
      <w:lvlJc w:val="left"/>
      <w:pPr>
        <w:ind w:left="2369" w:hanging="284"/>
      </w:pPr>
      <w:rPr>
        <w:rFonts w:hint="default"/>
      </w:rPr>
    </w:lvl>
    <w:lvl w:ilvl="5" w:tplc="FFFFFFFF">
      <w:start w:val="1"/>
      <w:numFmt w:val="bullet"/>
      <w:lvlText w:val="•"/>
      <w:lvlJc w:val="left"/>
      <w:pPr>
        <w:ind w:left="2866" w:hanging="284"/>
      </w:pPr>
      <w:rPr>
        <w:rFonts w:hint="default"/>
      </w:rPr>
    </w:lvl>
    <w:lvl w:ilvl="6" w:tplc="FFFFFFFF">
      <w:start w:val="1"/>
      <w:numFmt w:val="bullet"/>
      <w:lvlText w:val="•"/>
      <w:lvlJc w:val="left"/>
      <w:pPr>
        <w:ind w:left="3363" w:hanging="284"/>
      </w:pPr>
      <w:rPr>
        <w:rFonts w:hint="default"/>
      </w:rPr>
    </w:lvl>
    <w:lvl w:ilvl="7" w:tplc="FFFFFFFF">
      <w:start w:val="1"/>
      <w:numFmt w:val="bullet"/>
      <w:lvlText w:val="•"/>
      <w:lvlJc w:val="left"/>
      <w:pPr>
        <w:ind w:left="3860" w:hanging="284"/>
      </w:pPr>
      <w:rPr>
        <w:rFonts w:hint="default"/>
      </w:rPr>
    </w:lvl>
    <w:lvl w:ilvl="8" w:tplc="FFFFFFFF">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A3924F7"/>
    <w:multiLevelType w:val="hybridMultilevel"/>
    <w:tmpl w:val="4BE86BCE"/>
    <w:lvl w:ilvl="0" w:tplc="3EF6C7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DF7666"/>
    <w:multiLevelType w:val="hybridMultilevel"/>
    <w:tmpl w:val="D674A9B2"/>
    <w:lvl w:ilvl="0" w:tplc="D0282A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8559742">
    <w:abstractNumId w:val="0"/>
  </w:num>
  <w:num w:numId="2" w16cid:durableId="1673947011">
    <w:abstractNumId w:val="3"/>
  </w:num>
  <w:num w:numId="3" w16cid:durableId="1953970731">
    <w:abstractNumId w:val="0"/>
    <w:lvlOverride w:ilvl="0">
      <w:startOverride w:val="1"/>
    </w:lvlOverride>
    <w:lvlOverride w:ilvl="1"/>
    <w:lvlOverride w:ilvl="2"/>
    <w:lvlOverride w:ilvl="3"/>
    <w:lvlOverride w:ilvl="4"/>
    <w:lvlOverride w:ilvl="5"/>
    <w:lvlOverride w:ilvl="6"/>
    <w:lvlOverride w:ilvl="7"/>
    <w:lvlOverride w:ilvl="8"/>
  </w:num>
  <w:num w:numId="4" w16cid:durableId="1891571484">
    <w:abstractNumId w:val="2"/>
  </w:num>
  <w:num w:numId="5" w16cid:durableId="1222207785">
    <w:abstractNumId w:val="4"/>
  </w:num>
  <w:num w:numId="6" w16cid:durableId="1041714236">
    <w:abstractNumId w:val="1"/>
  </w:num>
  <w:num w:numId="7" w16cid:durableId="6910334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404E5B"/>
    <w:rsid w:val="00414F7B"/>
    <w:rsid w:val="004355DC"/>
    <w:rsid w:val="00462877"/>
    <w:rsid w:val="004749B4"/>
    <w:rsid w:val="00475D20"/>
    <w:rsid w:val="00494130"/>
    <w:rsid w:val="004F3523"/>
    <w:rsid w:val="00590D60"/>
    <w:rsid w:val="005973B9"/>
    <w:rsid w:val="005B3A56"/>
    <w:rsid w:val="006060CE"/>
    <w:rsid w:val="0061505C"/>
    <w:rsid w:val="0063497F"/>
    <w:rsid w:val="00714354"/>
    <w:rsid w:val="00810408"/>
    <w:rsid w:val="00873DF0"/>
    <w:rsid w:val="008756E6"/>
    <w:rsid w:val="00897EC5"/>
    <w:rsid w:val="008A0763"/>
    <w:rsid w:val="008E5477"/>
    <w:rsid w:val="009264B7"/>
    <w:rsid w:val="00997627"/>
    <w:rsid w:val="009B2D44"/>
    <w:rsid w:val="00A07E82"/>
    <w:rsid w:val="00A16E03"/>
    <w:rsid w:val="00A52075"/>
    <w:rsid w:val="00A9710C"/>
    <w:rsid w:val="00AE3E37"/>
    <w:rsid w:val="00B21A57"/>
    <w:rsid w:val="00BE6743"/>
    <w:rsid w:val="00C311AB"/>
    <w:rsid w:val="00C33602"/>
    <w:rsid w:val="00C56C74"/>
    <w:rsid w:val="00C65FE0"/>
    <w:rsid w:val="00CD6F55"/>
    <w:rsid w:val="00CE4B8E"/>
    <w:rsid w:val="00D12DEA"/>
    <w:rsid w:val="00D60D07"/>
    <w:rsid w:val="00DE3104"/>
    <w:rsid w:val="00DE6170"/>
    <w:rsid w:val="00E30AAC"/>
    <w:rsid w:val="00E95D97"/>
    <w:rsid w:val="00EA7D51"/>
    <w:rsid w:val="00F046EA"/>
    <w:rsid w:val="00F312EA"/>
    <w:rsid w:val="00F3336C"/>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8DAE3"/>
  <w15:docId w15:val="{D169F5F6-9DB2-4144-912E-9DC816519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16E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Botros Y. Beshay</cp:lastModifiedBy>
  <cp:revision>2</cp:revision>
  <cp:lastPrinted>2023-02-19T17:00:00Z</cp:lastPrinted>
  <dcterms:created xsi:type="dcterms:W3CDTF">2023-02-19T17:00:00Z</dcterms:created>
  <dcterms:modified xsi:type="dcterms:W3CDTF">2023-02-19T17:00:00Z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