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B25778" w14:textId="77777777" w:rsidR="00DF04E3" w:rsidRDefault="0090361D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361D">
        <w:rPr>
          <w:rFonts w:ascii="Times New Roman" w:hAnsi="Times New Roman" w:cs="Times New Roman"/>
          <w:b/>
          <w:sz w:val="24"/>
          <w:szCs w:val="24"/>
        </w:rPr>
        <w:t>Multitarget MOR/DOR antinociceptive ligands as useful profile in pain management: synthesis and pharmacological studies of 6,7- benzomorphan-based LP2 and its isomers</w:t>
      </w:r>
    </w:p>
    <w:p w14:paraId="7FD263D7" w14:textId="77777777" w:rsidR="0090361D" w:rsidRPr="0090361D" w:rsidRDefault="0090361D" w:rsidP="0090361D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 w:rsidRPr="0090361D">
        <w:rPr>
          <w:rFonts w:ascii="Times New Roman" w:hAnsi="Times New Roman" w:cs="Times New Roman"/>
          <w:sz w:val="24"/>
          <w:u w:val="single"/>
        </w:rPr>
        <w:t>Rita Turnaturi</w:t>
      </w:r>
      <w:r w:rsidRPr="0090361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90361D">
        <w:rPr>
          <w:rFonts w:ascii="Times New Roman" w:hAnsi="Times New Roman" w:cs="Times New Roman"/>
          <w:sz w:val="24"/>
          <w:u w:val="single"/>
        </w:rPr>
        <w:t>, Carmela Parenti,</w:t>
      </w:r>
      <w:r w:rsidRPr="0090361D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Pr="0090361D">
        <w:rPr>
          <w:rFonts w:ascii="Times New Roman" w:hAnsi="Times New Roman" w:cs="Times New Roman"/>
          <w:sz w:val="24"/>
          <w:u w:val="single"/>
        </w:rPr>
        <w:t xml:space="preserve"> Girolamo Calò,</w:t>
      </w:r>
      <w:r w:rsidRPr="0090361D">
        <w:rPr>
          <w:rFonts w:ascii="Times New Roman" w:hAnsi="Times New Roman" w:cs="Times New Roman"/>
          <w:sz w:val="24"/>
          <w:u w:val="single"/>
          <w:vertAlign w:val="superscript"/>
        </w:rPr>
        <w:t>3</w:t>
      </w:r>
      <w:r w:rsidRPr="0090361D">
        <w:rPr>
          <w:rFonts w:ascii="Times New Roman" w:hAnsi="Times New Roman" w:cs="Times New Roman"/>
          <w:sz w:val="24"/>
          <w:u w:val="single"/>
        </w:rPr>
        <w:t xml:space="preserve"> Santina Chiechio</w:t>
      </w:r>
      <w:r w:rsidRPr="0090361D"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Pr="0090361D">
        <w:rPr>
          <w:rFonts w:ascii="Times New Roman" w:hAnsi="Times New Roman" w:cs="Times New Roman"/>
          <w:sz w:val="24"/>
          <w:u w:val="single"/>
        </w:rPr>
        <w:t xml:space="preserve"> and Lorella Pasquinucci</w:t>
      </w:r>
      <w:r w:rsidRPr="0090361D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Pr="0090361D">
        <w:rPr>
          <w:rFonts w:ascii="Times New Roman" w:hAnsi="Times New Roman" w:cs="Times New Roman"/>
          <w:sz w:val="24"/>
          <w:u w:val="single"/>
        </w:rPr>
        <w:t>.</w:t>
      </w:r>
    </w:p>
    <w:p w14:paraId="454D39B9" w14:textId="77777777" w:rsidR="0090361D" w:rsidRPr="0090361D" w:rsidRDefault="0090361D" w:rsidP="0090361D">
      <w:pPr>
        <w:pStyle w:val="HTMLPreformatted"/>
        <w:rPr>
          <w:rFonts w:ascii="Times New Roman" w:hAnsi="Times New Roman" w:cs="Times New Roman"/>
          <w:sz w:val="24"/>
          <w:u w:val="single"/>
        </w:rPr>
      </w:pPr>
    </w:p>
    <w:p w14:paraId="3EAC498C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728E4371" w14:textId="77777777" w:rsidR="0090361D" w:rsidRDefault="00DF04E3" w:rsidP="0090361D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0361D" w:rsidRPr="0090361D">
        <w:rPr>
          <w:rFonts w:ascii="Times New Roman" w:hAnsi="Times New Roman" w:cs="Times New Roman"/>
          <w:i/>
          <w:iCs/>
          <w:sz w:val="24"/>
        </w:rPr>
        <w:t xml:space="preserve">Department of Drug Sciences, Medicinal Chemistry Section, University of Catania </w:t>
      </w:r>
    </w:p>
    <w:p w14:paraId="56BE401C" w14:textId="77777777" w:rsidR="0090361D" w:rsidRDefault="0090361D" w:rsidP="0090361D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90361D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90361D">
        <w:rPr>
          <w:rFonts w:ascii="Times New Roman" w:hAnsi="Times New Roman" w:cs="Times New Roman"/>
          <w:i/>
          <w:iCs/>
          <w:sz w:val="24"/>
        </w:rPr>
        <w:t>Department of Drug Sciences, Pharmacology and Toxicology Section, University of Catania</w:t>
      </w:r>
    </w:p>
    <w:p w14:paraId="5BAE47F7" w14:textId="77777777" w:rsidR="0028059F" w:rsidRPr="0028059F" w:rsidRDefault="0090361D" w:rsidP="0090361D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90361D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Pr="0090361D">
        <w:rPr>
          <w:rFonts w:ascii="Times New Roman" w:hAnsi="Times New Roman" w:cs="Times New Roman"/>
          <w:i/>
          <w:iCs/>
          <w:sz w:val="24"/>
        </w:rPr>
        <w:t>Department of Medical Sciences, Pharmacology section, University of Ferrara.</w:t>
      </w:r>
    </w:p>
    <w:p w14:paraId="480BA7BF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022F1C23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645724B5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7E282438" w14:textId="77777777" w:rsidR="0090361D" w:rsidRPr="0090361D" w:rsidRDefault="0090361D" w:rsidP="0090361D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0361D">
        <w:rPr>
          <w:rFonts w:ascii="Times New Roman" w:hAnsi="Times New Roman" w:cs="Times New Roman"/>
          <w:sz w:val="24"/>
        </w:rPr>
        <w:t>Opioid analgesics, such as morphine, elicit analgesic effects primarily through mu opioid receptor (MOR), whose activation determines not only analgesia but also a sequel of unwanted side effects. Although indispensable for the management of acute severe pain, the classical analgesics are unsuccessful for inflammatory and neuropathic pain treatment. Multitarget MOR/delta opioid receptor (DOR) agonists, showing synergic antinociceptive activity with low side-effects induction in preclinical models, represent a strategy to overcome the default in chronic pain treatment (1).</w:t>
      </w:r>
    </w:p>
    <w:p w14:paraId="650281D6" w14:textId="61685202" w:rsidR="0090361D" w:rsidRPr="0090361D" w:rsidRDefault="0090361D" w:rsidP="0090361D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0361D">
        <w:rPr>
          <w:rFonts w:ascii="Times New Roman" w:hAnsi="Times New Roman" w:cs="Times New Roman"/>
          <w:sz w:val="24"/>
        </w:rPr>
        <w:t>In this context, we identified the multitarget MOR/DOR ligand LP2 (1) characterized by high MOR (K</w:t>
      </w:r>
      <w:r w:rsidRPr="00AA1DE0">
        <w:rPr>
          <w:rFonts w:ascii="Times New Roman" w:hAnsi="Times New Roman" w:cs="Times New Roman"/>
          <w:sz w:val="24"/>
          <w:vertAlign w:val="subscript"/>
        </w:rPr>
        <w:t>i</w:t>
      </w:r>
      <w:r w:rsidRPr="0090361D">
        <w:rPr>
          <w:rFonts w:ascii="Times New Roman" w:hAnsi="Times New Roman" w:cs="Times New Roman"/>
          <w:sz w:val="24"/>
        </w:rPr>
        <w:t>= 1.08 nM) and DOR (K</w:t>
      </w:r>
      <w:r w:rsidRPr="00AA1DE0">
        <w:rPr>
          <w:rFonts w:ascii="Times New Roman" w:hAnsi="Times New Roman" w:cs="Times New Roman"/>
          <w:sz w:val="24"/>
          <w:vertAlign w:val="subscript"/>
        </w:rPr>
        <w:t>i</w:t>
      </w:r>
      <w:r w:rsidRPr="0090361D">
        <w:rPr>
          <w:rFonts w:ascii="Times New Roman" w:hAnsi="Times New Roman" w:cs="Times New Roman"/>
          <w:sz w:val="24"/>
        </w:rPr>
        <w:t>= 6.6 nM) affinity coupled to an agonist profile versus these receptors (IC</w:t>
      </w:r>
      <w:r w:rsidRPr="00AA1DE0">
        <w:rPr>
          <w:rFonts w:ascii="Times New Roman" w:hAnsi="Times New Roman" w:cs="Times New Roman"/>
          <w:sz w:val="24"/>
          <w:vertAlign w:val="subscript"/>
        </w:rPr>
        <w:t>50</w:t>
      </w:r>
      <w:r w:rsidRPr="00AA1DE0">
        <w:rPr>
          <w:rFonts w:ascii="Times New Roman" w:hAnsi="Times New Roman" w:cs="Times New Roman"/>
          <w:sz w:val="24"/>
          <w:vertAlign w:val="superscript"/>
        </w:rPr>
        <w:t>MOR</w:t>
      </w:r>
      <w:r w:rsidRPr="0090361D">
        <w:rPr>
          <w:rFonts w:ascii="Times New Roman" w:hAnsi="Times New Roman" w:cs="Times New Roman"/>
          <w:sz w:val="24"/>
        </w:rPr>
        <w:t>= 21.5 nM and IC</w:t>
      </w:r>
      <w:r w:rsidRPr="00AA1DE0">
        <w:rPr>
          <w:rFonts w:ascii="Times New Roman" w:hAnsi="Times New Roman" w:cs="Times New Roman"/>
          <w:sz w:val="24"/>
          <w:vertAlign w:val="subscript"/>
        </w:rPr>
        <w:t>50</w:t>
      </w:r>
      <w:r w:rsidRPr="00AA1DE0">
        <w:rPr>
          <w:rFonts w:ascii="Times New Roman" w:hAnsi="Times New Roman" w:cs="Times New Roman"/>
          <w:sz w:val="24"/>
          <w:vertAlign w:val="superscript"/>
        </w:rPr>
        <w:t>DOR</w:t>
      </w:r>
      <w:r w:rsidRPr="0090361D">
        <w:rPr>
          <w:rFonts w:ascii="Times New Roman" w:hAnsi="Times New Roman" w:cs="Times New Roman"/>
          <w:sz w:val="24"/>
        </w:rPr>
        <w:t>= 4.4 nM). In tail flick test, LP2 produced a long-lasting antinociception naloxone-reversed (ED</w:t>
      </w:r>
      <w:r w:rsidRPr="00AA1DE0">
        <w:rPr>
          <w:rFonts w:ascii="Times New Roman" w:hAnsi="Times New Roman" w:cs="Times New Roman"/>
          <w:sz w:val="24"/>
          <w:vertAlign w:val="subscript"/>
        </w:rPr>
        <w:t>50</w:t>
      </w:r>
      <w:r w:rsidRPr="0090361D">
        <w:rPr>
          <w:rFonts w:ascii="Times New Roman" w:hAnsi="Times New Roman" w:cs="Times New Roman"/>
          <w:sz w:val="24"/>
        </w:rPr>
        <w:t xml:space="preserve"> of 0.9 mg/kg i.p.) (2). Building upon these evidences, our efforts were focused on demonstrating whether the LP2 multitarget profile could be useful for persistent pain states. Thus, LP2 is evaluated in a model of neuropathic pain induced by chronic constriction injury (CCI) and a model of inflammatory pain (Formalin test). Moreover, both 2</w:t>
      </w:r>
      <w:r w:rsidRPr="003D3F94">
        <w:rPr>
          <w:rFonts w:ascii="Times New Roman" w:hAnsi="Times New Roman" w:cs="Times New Roman"/>
          <w:i/>
          <w:sz w:val="24"/>
        </w:rPr>
        <w:t>R</w:t>
      </w:r>
      <w:r w:rsidRPr="0090361D">
        <w:rPr>
          <w:rFonts w:ascii="Times New Roman" w:hAnsi="Times New Roman" w:cs="Times New Roman"/>
          <w:sz w:val="24"/>
        </w:rPr>
        <w:t>- (2) and 2</w:t>
      </w:r>
      <w:r w:rsidRPr="003D3F94">
        <w:rPr>
          <w:rFonts w:ascii="Times New Roman" w:hAnsi="Times New Roman" w:cs="Times New Roman"/>
          <w:i/>
          <w:sz w:val="24"/>
        </w:rPr>
        <w:t>S</w:t>
      </w:r>
      <w:r w:rsidRPr="0090361D">
        <w:rPr>
          <w:rFonts w:ascii="Times New Roman" w:hAnsi="Times New Roman" w:cs="Times New Roman"/>
          <w:sz w:val="24"/>
        </w:rPr>
        <w:t>- (3) diastereoisomers of LP2 were synthesized in order to investigate the role of the stereocenter at the N-substituent of the 6,7-benzomorphan scaffold in drug-opioid receptor interaction (3). Their pharmacological profile were compared each other and with LP2 (1). Specifically, 2</w:t>
      </w:r>
      <w:r w:rsidRPr="003D3F94">
        <w:rPr>
          <w:rFonts w:ascii="Times New Roman" w:hAnsi="Times New Roman" w:cs="Times New Roman"/>
          <w:i/>
          <w:sz w:val="24"/>
        </w:rPr>
        <w:t>S</w:t>
      </w:r>
      <w:r w:rsidRPr="0090361D">
        <w:rPr>
          <w:rFonts w:ascii="Times New Roman" w:hAnsi="Times New Roman" w:cs="Times New Roman"/>
          <w:sz w:val="24"/>
        </w:rPr>
        <w:t>-LP2 (3) showed an increased</w:t>
      </w:r>
      <w:r w:rsidR="003D3F94">
        <w:rPr>
          <w:rFonts w:ascii="Times New Roman" w:hAnsi="Times New Roman" w:cs="Times New Roman"/>
          <w:sz w:val="24"/>
        </w:rPr>
        <w:t xml:space="preserve"> antinociceptive effect than LP</w:t>
      </w:r>
      <w:r w:rsidRPr="0090361D">
        <w:rPr>
          <w:rFonts w:ascii="Times New Roman" w:hAnsi="Times New Roman" w:cs="Times New Roman"/>
          <w:sz w:val="24"/>
        </w:rPr>
        <w:t xml:space="preserve">2 consistent with the </w:t>
      </w:r>
      <w:r w:rsidRPr="003D3F94">
        <w:rPr>
          <w:rFonts w:ascii="Times New Roman" w:hAnsi="Times New Roman" w:cs="Times New Roman"/>
          <w:i/>
          <w:sz w:val="24"/>
        </w:rPr>
        <w:t>in vitro</w:t>
      </w:r>
      <w:r w:rsidRPr="0090361D">
        <w:rPr>
          <w:rFonts w:ascii="Times New Roman" w:hAnsi="Times New Roman" w:cs="Times New Roman"/>
          <w:sz w:val="24"/>
        </w:rPr>
        <w:t xml:space="preserve"> functional profile. Moreover, 2</w:t>
      </w:r>
      <w:r w:rsidRPr="003D3F94">
        <w:rPr>
          <w:rFonts w:ascii="Times New Roman" w:hAnsi="Times New Roman" w:cs="Times New Roman"/>
          <w:i/>
          <w:sz w:val="24"/>
        </w:rPr>
        <w:t>S</w:t>
      </w:r>
      <w:r w:rsidRPr="0090361D">
        <w:rPr>
          <w:rFonts w:ascii="Times New Roman" w:hAnsi="Times New Roman" w:cs="Times New Roman"/>
          <w:sz w:val="24"/>
        </w:rPr>
        <w:t>-LP2 (3) resulted a biased MOR/DOR agonist with functional selectivity for G-protein signaling and reduced β-arrestin 2 recruitment, an effectiveness profile in chronic pain conditions management.</w:t>
      </w:r>
    </w:p>
    <w:p w14:paraId="2C3BD492" w14:textId="77777777"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0E56B91D" w14:textId="00B9A31B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B6128">
        <w:rPr>
          <w:rFonts w:ascii="Times New Roman" w:hAnsi="Times New Roman" w:cs="Times New Roman"/>
          <w:i/>
          <w:sz w:val="24"/>
        </w:rPr>
        <w:t>Pain, Opioid, Benzomorphan, Biased Agonist.</w:t>
      </w:r>
    </w:p>
    <w:p w14:paraId="3008395F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468DAEF4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447D9E62" w14:textId="0E8C5B3E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14:paraId="2231E3FB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15650706" w14:textId="77777777" w:rsidR="00FB6128" w:rsidRPr="00FB6128" w:rsidRDefault="00FB6128" w:rsidP="00FB6128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FB6128">
        <w:rPr>
          <w:rFonts w:ascii="Times New Roman" w:hAnsi="Times New Roman" w:cs="Times New Roman"/>
          <w:iCs/>
          <w:sz w:val="24"/>
        </w:rPr>
        <w:t>Rita Turnaturi achieved the PhD in Medicinal Chemistry from University of Catania. Currently she is performing  a fellowship at the Department of Drug Sciences of University of Catania. She has published more than 30 papers in reputed peer-reviewed journals.</w:t>
      </w:r>
      <w:r w:rsidRPr="00FB6128">
        <w:rPr>
          <w:rFonts w:ascii="Times New Roman" w:hAnsi="Times New Roman" w:cs="Times New Roman"/>
          <w:iCs/>
          <w:sz w:val="24"/>
        </w:rPr>
        <w:tab/>
      </w:r>
    </w:p>
    <w:p w14:paraId="5FCB1FB5" w14:textId="77777777" w:rsidR="00FB6128" w:rsidRPr="00FB6128" w:rsidRDefault="00FB6128" w:rsidP="00FB6128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F09B052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1BE41C9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5C207FCD" w14:textId="41F29126" w:rsidR="00B3082B" w:rsidRDefault="00FB6128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2518F4">
        <w:rPr>
          <w:rFonts w:ascii="Times New Roman" w:hAnsi="Times New Roman" w:cs="Times New Roman"/>
          <w:b/>
          <w:noProof/>
          <w:lang w:val="en-US"/>
        </w:rPr>
        <w:lastRenderedPageBreak/>
        <w:drawing>
          <wp:inline distT="0" distB="0" distL="0" distR="0" wp14:anchorId="7DAD5358" wp14:editId="7D636002">
            <wp:extent cx="1205393" cy="1440000"/>
            <wp:effectExtent l="0" t="0" r="0" b="8255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39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14:paraId="65D3CCB0" w14:textId="3B4FF745"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FB6128">
        <w:rPr>
          <w:rFonts w:ascii="Times New Roman" w:hAnsi="Times New Roman" w:cs="Times New Roman"/>
          <w:iCs/>
          <w:sz w:val="24"/>
        </w:rPr>
        <w:t>rita.turnaturi@unict.it</w:t>
      </w:r>
    </w:p>
    <w:p w14:paraId="09606763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6B0693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6EE8056C" w14:textId="05CDF80C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FB6128">
        <w:rPr>
          <w:rFonts w:ascii="Times New Roman" w:hAnsi="Times New Roman" w:cs="Times New Roman"/>
          <w:b/>
          <w:sz w:val="24"/>
          <w:szCs w:val="24"/>
        </w:rPr>
        <w:t xml:space="preserve"> Oral Communication</w:t>
      </w:r>
      <w:bookmarkStart w:id="0" w:name="_GoBack"/>
      <w:bookmarkEnd w:id="0"/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0E5578" w14:textId="77777777" w:rsidR="004651F1" w:rsidRDefault="004651F1" w:rsidP="00495C76">
      <w:pPr>
        <w:spacing w:after="0" w:line="240" w:lineRule="auto"/>
      </w:pPr>
      <w:r>
        <w:separator/>
      </w:r>
    </w:p>
  </w:endnote>
  <w:endnote w:type="continuationSeparator" w:id="0">
    <w:p w14:paraId="74406068" w14:textId="77777777" w:rsidR="004651F1" w:rsidRDefault="004651F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ADCD1F" w14:textId="77777777" w:rsidR="004651F1" w:rsidRDefault="004651F1" w:rsidP="00495C76">
      <w:pPr>
        <w:spacing w:after="0" w:line="240" w:lineRule="auto"/>
      </w:pPr>
      <w:r>
        <w:separator/>
      </w:r>
    </w:p>
  </w:footnote>
  <w:footnote w:type="continuationSeparator" w:id="0">
    <w:p w14:paraId="067FACDE" w14:textId="77777777" w:rsidR="004651F1" w:rsidRDefault="004651F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A83BAC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5F6A36E0" wp14:editId="08C80D57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0605F6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3B1BB3"/>
    <w:rsid w:val="003D3F94"/>
    <w:rsid w:val="00435234"/>
    <w:rsid w:val="004651F1"/>
    <w:rsid w:val="00495C76"/>
    <w:rsid w:val="00627419"/>
    <w:rsid w:val="0090361D"/>
    <w:rsid w:val="00AA1DE0"/>
    <w:rsid w:val="00B3082B"/>
    <w:rsid w:val="00B6703B"/>
    <w:rsid w:val="00BA654F"/>
    <w:rsid w:val="00CE511D"/>
    <w:rsid w:val="00DF04E3"/>
    <w:rsid w:val="00FB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DDB24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microsoft.com/office/2007/relationships/hdphoto" Target="media/hdphoto1.wdp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418</Words>
  <Characters>2383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Ri</cp:lastModifiedBy>
  <cp:revision>6</cp:revision>
  <dcterms:created xsi:type="dcterms:W3CDTF">2020-01-15T09:35:00Z</dcterms:created>
  <dcterms:modified xsi:type="dcterms:W3CDTF">2020-01-15T09:42:00Z</dcterms:modified>
</cp:coreProperties>
</file>