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D80622" w:rsidP="00494130">
      <w:pPr>
        <w:pStyle w:val="Heading1"/>
        <w:spacing w:before="170"/>
        <w:ind w:left="0"/>
      </w:pPr>
      <w:r w:rsidRPr="00D80622">
        <w:rPr>
          <w:color w:val="337AB7"/>
        </w:rPr>
        <w:t xml:space="preserve">Study of energy transfer processes in aluminates based phosphors </w:t>
      </w:r>
    </w:p>
    <w:p w:rsidR="00D80622" w:rsidRDefault="00D80622" w:rsidP="005973B9">
      <w:pPr>
        <w:pStyle w:val="BodyText"/>
        <w:spacing w:before="73" w:line="198" w:lineRule="exact"/>
        <w:ind w:left="100" w:right="5987"/>
        <w:rPr>
          <w:rFonts w:ascii="Arial"/>
        </w:rPr>
      </w:pPr>
    </w:p>
    <w:p w:rsidR="005973B9" w:rsidRDefault="00D80622" w:rsidP="00D80622">
      <w:pPr>
        <w:pStyle w:val="BodyText"/>
        <w:spacing w:before="73" w:line="198" w:lineRule="exact"/>
        <w:ind w:left="100" w:right="5380"/>
        <w:rPr>
          <w:rFonts w:ascii="Arial"/>
        </w:rPr>
      </w:pPr>
      <w:r>
        <w:rPr>
          <w:rFonts w:ascii="Arial"/>
        </w:rPr>
        <w:t>Suresh Puppalwar</w:t>
      </w:r>
      <w:r w:rsidR="00F40193">
        <w:rPr>
          <w:rFonts w:ascii="Arial"/>
        </w:rPr>
        <w:t>, K</w:t>
      </w:r>
      <w:r>
        <w:rPr>
          <w:rFonts w:ascii="Arial"/>
        </w:rPr>
        <w:t>amla Nehru Mahavidyalaya, Nagpur, India</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535523">
      <w:pPr>
        <w:pStyle w:val="Heading3"/>
        <w:spacing w:before="147"/>
        <w:ind w:left="0"/>
        <w:jc w:val="both"/>
      </w:pPr>
      <w:r>
        <w:rPr>
          <w:color w:val="BF5A14"/>
        </w:rPr>
        <w:lastRenderedPageBreak/>
        <w:t>Abstract</w:t>
      </w:r>
      <w:r w:rsidR="00404E5B">
        <w:rPr>
          <w:color w:val="BF5A14"/>
        </w:rPr>
        <w:t xml:space="preserve"> </w:t>
      </w:r>
    </w:p>
    <w:p w:rsidR="008A7674" w:rsidRDefault="00A90E33">
      <w:pPr>
        <w:pStyle w:val="BodyText"/>
        <w:spacing w:before="90" w:line="280" w:lineRule="auto"/>
        <w:ind w:left="100"/>
        <w:jc w:val="both"/>
      </w:pPr>
      <w:r w:rsidRPr="00A90E33">
        <w:t>Materials that absorb light and emit it at other wavelength are known as light emitting materials and also referred as phosphors. Phosphors are used in many applications such as lighting, displays, lasers and scintillators. Lanthanide group ions are usually used as luminescent centers. Energy transfer can play an important role in phosphors in the optical properties of luminescent materials both from theoretical and practical points of view. The luminescence efficiency of a phosphor can be enhanced by co-doping with a second kind of dopant (donor) as a result of energy transfer from the donor to the acceptor.</w:t>
      </w:r>
      <w:r>
        <w:t xml:space="preserve"> </w:t>
      </w:r>
      <w:r w:rsidRPr="00A90E33">
        <w:t>Rare earth doped aluminates have emerged as a new class of luminescence materials. Tb</w:t>
      </w:r>
      <w:r w:rsidRPr="00A90E33">
        <w:rPr>
          <w:vertAlign w:val="superscript"/>
        </w:rPr>
        <w:t>3+</w:t>
      </w:r>
      <w:r w:rsidRPr="00A90E33">
        <w:t>/Eu</w:t>
      </w:r>
      <w:r w:rsidRPr="00A90E33">
        <w:rPr>
          <w:vertAlign w:val="superscript"/>
        </w:rPr>
        <w:t>3+</w:t>
      </w:r>
      <w:r w:rsidRPr="00A90E33">
        <w:t xml:space="preserve"> co-doped CaLaAlO</w:t>
      </w:r>
      <w:r w:rsidRPr="00F541BE">
        <w:rPr>
          <w:vertAlign w:val="subscript"/>
        </w:rPr>
        <w:t>4</w:t>
      </w:r>
      <w:r w:rsidRPr="00A90E33">
        <w:t xml:space="preserve"> (CLA) and Tb</w:t>
      </w:r>
      <w:r w:rsidRPr="00A90E33">
        <w:rPr>
          <w:vertAlign w:val="superscript"/>
        </w:rPr>
        <w:t>3+</w:t>
      </w:r>
      <w:r w:rsidRPr="00A90E33">
        <w:t>/Sm</w:t>
      </w:r>
      <w:r w:rsidRPr="00A90E33">
        <w:rPr>
          <w:vertAlign w:val="superscript"/>
        </w:rPr>
        <w:t>3+</w:t>
      </w:r>
      <w:r w:rsidRPr="00A90E33">
        <w:t xml:space="preserve"> co-doped LaMgAl</w:t>
      </w:r>
      <w:r w:rsidRPr="00A90E33">
        <w:rPr>
          <w:vertAlign w:val="subscript"/>
        </w:rPr>
        <w:t>11</w:t>
      </w:r>
      <w:r w:rsidRPr="00A90E33">
        <w:t>O</w:t>
      </w:r>
      <w:r w:rsidRPr="00A90E33">
        <w:rPr>
          <w:vertAlign w:val="subscript"/>
        </w:rPr>
        <w:t>19</w:t>
      </w:r>
      <w:r w:rsidRPr="00A90E33">
        <w:t xml:space="preserve"> (LMA) phosphors were successfully prepared by solution combustion route. The sample shows single tetragonal structure. CLA: Tb</w:t>
      </w:r>
      <w:r w:rsidRPr="00A90E33">
        <w:rPr>
          <w:vertAlign w:val="superscript"/>
        </w:rPr>
        <w:t>3+</w:t>
      </w:r>
      <w:r w:rsidRPr="00A90E33">
        <w:t>, Eu</w:t>
      </w:r>
      <w:r w:rsidRPr="00A90E33">
        <w:rPr>
          <w:vertAlign w:val="superscript"/>
        </w:rPr>
        <w:t>3+</w:t>
      </w:r>
      <w:r w:rsidRPr="00A90E33">
        <w:t xml:space="preserve"> phosphors exhibited green emission corresponding to the f–f transition of </w:t>
      </w:r>
      <w:r w:rsidR="00F541BE" w:rsidRPr="00A90E33">
        <w:t>Tb</w:t>
      </w:r>
      <w:r w:rsidR="00F541BE" w:rsidRPr="00A90E33">
        <w:rPr>
          <w:vertAlign w:val="superscript"/>
        </w:rPr>
        <w:t>3+</w:t>
      </w:r>
      <w:r w:rsidRPr="00A90E33">
        <w:t xml:space="preserve"> ions and red emission bands corresponding to the f–f transition of Eu</w:t>
      </w:r>
      <w:r w:rsidRPr="00A90E33">
        <w:rPr>
          <w:vertAlign w:val="superscript"/>
        </w:rPr>
        <w:t>3+</w:t>
      </w:r>
      <w:r w:rsidRPr="00A90E33">
        <w:t xml:space="preserve"> ions, respectively. Commission International del'Eclairage (CIE) chromaticity coordinates are found to be x = 0.3277 and y = 0.3370, which is close to the standard white-light color (x = 0.333 and y = 0.333), demonstrating potentials phosphors for white light emission. The mechanism of energy transfer (ET) from </w:t>
      </w:r>
      <w:r w:rsidR="00F541BE" w:rsidRPr="00A90E33">
        <w:t>Tb</w:t>
      </w:r>
      <w:r w:rsidR="00F541BE" w:rsidRPr="00A90E33">
        <w:rPr>
          <w:vertAlign w:val="superscript"/>
        </w:rPr>
        <w:t>3+</w:t>
      </w:r>
      <w:r w:rsidR="00F541BE">
        <w:rPr>
          <w:vertAlign w:val="superscript"/>
        </w:rPr>
        <w:t xml:space="preserve"> </w:t>
      </w:r>
      <w:r w:rsidRPr="00A90E33">
        <w:t xml:space="preserve">to Sm3+ was seen as the dipole–dipole interaction. The ET efficiency was observed 78.28% which is efficient ET from </w:t>
      </w:r>
      <w:r w:rsidR="00F541BE" w:rsidRPr="00A90E33">
        <w:t>Tb</w:t>
      </w:r>
      <w:r w:rsidR="00F541BE" w:rsidRPr="00A90E33">
        <w:rPr>
          <w:vertAlign w:val="superscript"/>
        </w:rPr>
        <w:t>3+</w:t>
      </w:r>
      <w:r w:rsidRPr="00A90E33">
        <w:t xml:space="preserve"> to </w:t>
      </w:r>
      <w:r w:rsidR="00F541BE">
        <w:t>Sm</w:t>
      </w:r>
      <w:r w:rsidR="00F541BE" w:rsidRPr="00A90E33">
        <w:rPr>
          <w:vertAlign w:val="superscript"/>
        </w:rPr>
        <w:t>3+</w:t>
      </w:r>
      <w:r w:rsidRPr="00A90E33">
        <w:t xml:space="preserve">ions in LMA host. </w:t>
      </w:r>
    </w:p>
    <w:p w:rsidR="00457F73" w:rsidRDefault="00A9710C" w:rsidP="00457F73">
      <w:pPr>
        <w:pStyle w:val="BodyText"/>
        <w:spacing w:before="90" w:line="280" w:lineRule="auto"/>
        <w:ind w:left="100"/>
        <w:jc w:val="both"/>
      </w:pPr>
      <w:r>
        <w:t xml:space="preserve">Conclusion &amp; Significance: </w:t>
      </w:r>
      <w:r w:rsidR="00535523" w:rsidRPr="00535523">
        <w:t xml:space="preserve">CLA: 0.01 </w:t>
      </w:r>
      <w:r w:rsidR="00535523" w:rsidRPr="00A90E33">
        <w:t>Tb</w:t>
      </w:r>
      <w:r w:rsidR="00535523" w:rsidRPr="00A90E33">
        <w:rPr>
          <w:vertAlign w:val="superscript"/>
        </w:rPr>
        <w:t>3+</w:t>
      </w:r>
      <w:r w:rsidR="00535523" w:rsidRPr="00535523">
        <w:t xml:space="preserve">, 0.02 </w:t>
      </w:r>
      <w:r w:rsidR="00535523" w:rsidRPr="00A90E33">
        <w:t>Eu</w:t>
      </w:r>
      <w:r w:rsidR="00535523" w:rsidRPr="00A90E33">
        <w:rPr>
          <w:vertAlign w:val="superscript"/>
        </w:rPr>
        <w:t>3+</w:t>
      </w:r>
      <w:r w:rsidR="00535523">
        <w:rPr>
          <w:vertAlign w:val="superscript"/>
        </w:rPr>
        <w:t xml:space="preserve"> </w:t>
      </w:r>
      <w:r w:rsidR="00B27F5E" w:rsidRPr="00535523">
        <w:t>assemblies</w:t>
      </w:r>
      <w:r w:rsidR="00535523" w:rsidRPr="00535523">
        <w:t xml:space="preserve"> has CIE chromaticity coordinates are close to the standard white-light color, demonstrating its great potential as single-component phosphor for </w:t>
      </w:r>
    </w:p>
    <w:p w:rsidR="00457F73" w:rsidRDefault="00457F73" w:rsidP="00457F73">
      <w:pPr>
        <w:pStyle w:val="BodyText"/>
        <w:spacing w:before="90" w:line="280" w:lineRule="auto"/>
        <w:ind w:left="100"/>
        <w:jc w:val="both"/>
      </w:pPr>
    </w:p>
    <w:p w:rsidR="00457F73" w:rsidRDefault="00B27F5E" w:rsidP="00457F73">
      <w:pPr>
        <w:pStyle w:val="BodyText"/>
        <w:spacing w:before="90" w:line="280" w:lineRule="auto"/>
        <w:ind w:left="100"/>
        <w:jc w:val="both"/>
      </w:pPr>
      <w:r>
        <w:lastRenderedPageBreak/>
        <w:t xml:space="preserve">white-light </w:t>
      </w:r>
      <w:r w:rsidR="00535523" w:rsidRPr="00535523">
        <w:t>emission.</w:t>
      </w:r>
      <w:r w:rsidR="00535523">
        <w:t xml:space="preserve"> </w:t>
      </w:r>
      <w:r w:rsidR="00457F73" w:rsidRPr="00A90E33">
        <w:t>The LMA: Tb</w:t>
      </w:r>
      <w:r w:rsidR="00457F73" w:rsidRPr="00A90E33">
        <w:rPr>
          <w:vertAlign w:val="superscript"/>
        </w:rPr>
        <w:t>3+</w:t>
      </w:r>
      <w:r w:rsidR="00457F73" w:rsidRPr="00A90E33">
        <w:t xml:space="preserve">, </w:t>
      </w:r>
      <w:r w:rsidR="00457F73">
        <w:t>Sm</w:t>
      </w:r>
      <w:r w:rsidR="00457F73" w:rsidRPr="00A90E33">
        <w:rPr>
          <w:vertAlign w:val="superscript"/>
        </w:rPr>
        <w:t>3+</w:t>
      </w:r>
      <w:r w:rsidR="00457F73" w:rsidRPr="00A90E33">
        <w:t xml:space="preserve"> phosphors exhibited the emission peaks in the blue, green and orange-red regions, which reveal that it, could be a potential multicolor emitting phosphor.</w:t>
      </w:r>
    </w:p>
    <w:p w:rsidR="00D80622" w:rsidRDefault="00457F73" w:rsidP="008A7674">
      <w:pPr>
        <w:pStyle w:val="BodyText"/>
        <w:spacing w:before="90" w:line="280" w:lineRule="auto"/>
        <w:ind w:left="100"/>
        <w:jc w:val="both"/>
      </w:pPr>
      <w:r w:rsidRPr="00457F73">
        <w:t>Keywords:   Aluminates phosphors; rare earths; Energy transfer; Luminescence.</w:t>
      </w:r>
    </w:p>
    <w:p w:rsidR="00D80622" w:rsidRDefault="00D80622" w:rsidP="008A7674">
      <w:pPr>
        <w:pStyle w:val="BodyText"/>
        <w:spacing w:before="90" w:line="280" w:lineRule="auto"/>
        <w:ind w:left="100"/>
        <w:jc w:val="both"/>
      </w:pPr>
    </w:p>
    <w:p w:rsidR="005973B9" w:rsidRDefault="005973B9" w:rsidP="005973B9">
      <w:pPr>
        <w:spacing w:line="204" w:lineRule="exact"/>
        <w:rPr>
          <w:rFonts w:ascii="Arial"/>
          <w:b/>
          <w:sz w:val="20"/>
        </w:rPr>
      </w:pPr>
      <w:r>
        <w:rPr>
          <w:rFonts w:ascii="Arial"/>
          <w:b/>
          <w:color w:val="BF5A14"/>
          <w:sz w:val="20"/>
        </w:rPr>
        <w:br/>
        <w:t xml:space="preserve">Recent Publications </w:t>
      </w:r>
    </w:p>
    <w:p w:rsidR="001E1782" w:rsidRDefault="001E1782" w:rsidP="004A54B2">
      <w:pPr>
        <w:tabs>
          <w:tab w:val="left" w:pos="384"/>
        </w:tabs>
        <w:ind w:right="117"/>
        <w:rPr>
          <w:rFonts w:ascii="Calibri" w:eastAsia="Calibri" w:hAnsi="Calibri" w:cs="Calibri"/>
          <w:b/>
          <w:bCs/>
          <w:sz w:val="18"/>
          <w:lang w:val="en-GB"/>
        </w:rPr>
      </w:pPr>
    </w:p>
    <w:p w:rsidR="001E1782" w:rsidRPr="00B4152B" w:rsidRDefault="001E1782" w:rsidP="004A54B2">
      <w:pPr>
        <w:tabs>
          <w:tab w:val="left" w:pos="384"/>
        </w:tabs>
        <w:ind w:right="117"/>
        <w:rPr>
          <w:rFonts w:ascii="Calibri" w:eastAsia="Calibri" w:hAnsi="Calibri" w:cs="Calibri"/>
          <w:bCs/>
          <w:sz w:val="18"/>
          <w:lang w:val="en-GB"/>
        </w:rPr>
      </w:pPr>
      <w:r w:rsidRPr="001E1782">
        <w:rPr>
          <w:rFonts w:ascii="Calibri" w:eastAsia="Calibri" w:hAnsi="Calibri" w:cs="Calibri"/>
          <w:b/>
          <w:bCs/>
          <w:sz w:val="18"/>
          <w:lang w:val="en-GB"/>
        </w:rPr>
        <w:t>S.P. Puppalwar</w:t>
      </w:r>
      <w:r>
        <w:rPr>
          <w:rFonts w:ascii="Calibri" w:eastAsia="Calibri" w:hAnsi="Calibri" w:cs="Calibri"/>
          <w:b/>
          <w:bCs/>
          <w:sz w:val="18"/>
          <w:lang w:val="en-GB"/>
        </w:rPr>
        <w:t>,</w:t>
      </w:r>
      <w:r w:rsidRPr="001E1782">
        <w:rPr>
          <w:rFonts w:ascii="Calibri" w:eastAsia="Calibri" w:hAnsi="Calibri" w:cs="Calibri"/>
          <w:b/>
          <w:bCs/>
          <w:sz w:val="18"/>
          <w:lang w:val="en-GB"/>
        </w:rPr>
        <w:t xml:space="preserve"> M.S. Mendhe</w:t>
      </w:r>
      <w:r w:rsidR="00B4152B">
        <w:rPr>
          <w:rFonts w:ascii="Calibri" w:eastAsia="Calibri" w:hAnsi="Calibri" w:cs="Calibri"/>
          <w:b/>
          <w:bCs/>
          <w:sz w:val="18"/>
          <w:lang w:val="en-GB"/>
        </w:rPr>
        <w:t xml:space="preserve"> and</w:t>
      </w:r>
      <w:r w:rsidRPr="001E1782">
        <w:rPr>
          <w:rFonts w:ascii="Calibri" w:eastAsia="Calibri" w:hAnsi="Calibri" w:cs="Calibri"/>
          <w:b/>
          <w:bCs/>
          <w:sz w:val="18"/>
          <w:lang w:val="en-GB"/>
        </w:rPr>
        <w:t xml:space="preserve"> S.J. Dhoble</w:t>
      </w:r>
      <w:r>
        <w:rPr>
          <w:rFonts w:ascii="Calibri" w:eastAsia="Calibri" w:hAnsi="Calibri" w:cs="Calibri"/>
          <w:b/>
          <w:bCs/>
          <w:sz w:val="18"/>
          <w:lang w:val="en-GB"/>
        </w:rPr>
        <w:t>,</w:t>
      </w:r>
      <w:r w:rsidRPr="001E1782">
        <w:rPr>
          <w:rFonts w:ascii="Calibri" w:eastAsia="Calibri" w:hAnsi="Calibri" w:cs="Calibri"/>
          <w:b/>
          <w:bCs/>
          <w:sz w:val="18"/>
          <w:lang w:val="en-GB"/>
        </w:rPr>
        <w:t xml:space="preserve"> </w:t>
      </w:r>
      <w:r w:rsidRPr="00B4152B">
        <w:rPr>
          <w:rFonts w:ascii="Calibri" w:eastAsia="Calibri" w:hAnsi="Calibri" w:cs="Calibri"/>
          <w:bCs/>
          <w:sz w:val="18"/>
          <w:lang w:val="en-GB"/>
        </w:rPr>
        <w:t>Novel single-component CaLaAlO</w:t>
      </w:r>
      <w:r w:rsidRPr="00B4152B">
        <w:rPr>
          <w:rFonts w:ascii="Calibri" w:eastAsia="Calibri" w:hAnsi="Calibri" w:cs="Calibri"/>
          <w:bCs/>
          <w:sz w:val="18"/>
          <w:vertAlign w:val="subscript"/>
          <w:lang w:val="en-GB"/>
        </w:rPr>
        <w:t>4</w:t>
      </w:r>
      <w:r w:rsidRPr="00B4152B">
        <w:rPr>
          <w:rFonts w:ascii="Calibri" w:eastAsia="Calibri" w:hAnsi="Calibri" w:cs="Calibri"/>
          <w:bCs/>
          <w:sz w:val="18"/>
          <w:lang w:val="en-GB"/>
        </w:rPr>
        <w:t>:Tb</w:t>
      </w:r>
      <w:r w:rsidRPr="00B4152B">
        <w:rPr>
          <w:rFonts w:ascii="Calibri" w:eastAsia="Calibri" w:hAnsi="Calibri" w:cs="Calibri"/>
          <w:bCs/>
          <w:sz w:val="18"/>
          <w:vertAlign w:val="superscript"/>
          <w:lang w:val="en-GB"/>
        </w:rPr>
        <w:t>3+</w:t>
      </w:r>
      <w:r w:rsidRPr="00B4152B">
        <w:rPr>
          <w:rFonts w:ascii="Calibri" w:eastAsia="Calibri" w:hAnsi="Calibri" w:cs="Calibri"/>
          <w:bCs/>
          <w:sz w:val="18"/>
          <w:lang w:val="en-GB"/>
        </w:rPr>
        <w:t>, Eu</w:t>
      </w:r>
      <w:r w:rsidRPr="00B4152B">
        <w:rPr>
          <w:rFonts w:ascii="Calibri" w:eastAsia="Calibri" w:hAnsi="Calibri" w:cs="Calibri"/>
          <w:bCs/>
          <w:sz w:val="18"/>
          <w:vertAlign w:val="superscript"/>
          <w:lang w:val="en-GB"/>
        </w:rPr>
        <w:t xml:space="preserve">3+ </w:t>
      </w:r>
      <w:r w:rsidRPr="00B4152B">
        <w:rPr>
          <w:rFonts w:ascii="Calibri" w:eastAsia="Calibri" w:hAnsi="Calibri" w:cs="Calibri"/>
          <w:bCs/>
          <w:sz w:val="18"/>
          <w:lang w:val="en-GB"/>
        </w:rPr>
        <w:t>phosphor for white light emission. Optical Materials 2018, 82, 47–55.</w:t>
      </w:r>
    </w:p>
    <w:p w:rsidR="004A54B2" w:rsidRPr="00B4152B" w:rsidRDefault="00B4152B" w:rsidP="004A54B2">
      <w:pPr>
        <w:tabs>
          <w:tab w:val="left" w:pos="384"/>
        </w:tabs>
        <w:ind w:right="117"/>
        <w:rPr>
          <w:rFonts w:ascii="Calibri" w:eastAsia="Calibri" w:hAnsi="Calibri" w:cs="Calibri"/>
          <w:sz w:val="18"/>
          <w:lang w:val="en-GB"/>
        </w:rPr>
      </w:pPr>
      <w:r w:rsidRPr="001E1782">
        <w:rPr>
          <w:rFonts w:ascii="Calibri" w:eastAsia="Calibri" w:hAnsi="Calibri" w:cs="Calibri"/>
          <w:b/>
          <w:bCs/>
          <w:sz w:val="18"/>
          <w:lang w:val="en-GB"/>
        </w:rPr>
        <w:t>S.P. Puppalwar</w:t>
      </w:r>
      <w:r>
        <w:rPr>
          <w:rFonts w:ascii="Calibri" w:eastAsia="Calibri" w:hAnsi="Calibri" w:cs="Calibri"/>
          <w:b/>
          <w:bCs/>
          <w:sz w:val="18"/>
          <w:lang w:val="en-GB"/>
        </w:rPr>
        <w:t>,</w:t>
      </w:r>
      <w:r w:rsidRPr="001E1782">
        <w:rPr>
          <w:rFonts w:ascii="Calibri" w:eastAsia="Calibri" w:hAnsi="Calibri" w:cs="Calibri"/>
          <w:b/>
          <w:bCs/>
          <w:sz w:val="18"/>
          <w:lang w:val="en-GB"/>
        </w:rPr>
        <w:t xml:space="preserve"> </w:t>
      </w:r>
      <w:r w:rsidR="001E1782" w:rsidRPr="001E1782">
        <w:rPr>
          <w:rFonts w:ascii="Calibri" w:eastAsia="Calibri" w:hAnsi="Calibri" w:cs="Calibri"/>
          <w:b/>
          <w:bCs/>
          <w:sz w:val="18"/>
          <w:lang w:val="en-GB"/>
        </w:rPr>
        <w:t>M.S. Mendhe</w:t>
      </w:r>
      <w:r>
        <w:rPr>
          <w:rFonts w:ascii="Calibri" w:eastAsia="Calibri" w:hAnsi="Calibri" w:cs="Calibri"/>
          <w:b/>
          <w:bCs/>
          <w:sz w:val="18"/>
          <w:lang w:val="en-GB"/>
        </w:rPr>
        <w:t xml:space="preserve"> and</w:t>
      </w:r>
      <w:r w:rsidR="001E1782" w:rsidRPr="001E1782">
        <w:rPr>
          <w:rFonts w:ascii="Calibri" w:eastAsia="Calibri" w:hAnsi="Calibri" w:cs="Calibri"/>
          <w:b/>
          <w:bCs/>
          <w:sz w:val="18"/>
          <w:lang w:val="en-GB"/>
        </w:rPr>
        <w:t xml:space="preserve"> S.J. Dhoble</w:t>
      </w:r>
      <w:r>
        <w:rPr>
          <w:rFonts w:ascii="Calibri" w:eastAsia="Calibri" w:hAnsi="Calibri" w:cs="Calibri"/>
          <w:b/>
          <w:bCs/>
          <w:sz w:val="18"/>
          <w:lang w:val="en-GB"/>
        </w:rPr>
        <w:t>,</w:t>
      </w:r>
      <w:r w:rsidR="001E1782" w:rsidRPr="001E1782">
        <w:rPr>
          <w:rFonts w:ascii="Calibri" w:eastAsia="Calibri" w:hAnsi="Calibri" w:cs="Calibri"/>
          <w:b/>
          <w:bCs/>
          <w:sz w:val="18"/>
          <w:lang w:val="en-GB"/>
        </w:rPr>
        <w:t xml:space="preserve"> </w:t>
      </w:r>
      <w:r w:rsidR="001E1782" w:rsidRPr="00B4152B">
        <w:rPr>
          <w:rFonts w:ascii="Calibri" w:eastAsia="Calibri" w:hAnsi="Calibri" w:cs="Calibri"/>
          <w:bCs/>
          <w:sz w:val="18"/>
          <w:lang w:val="en-GB"/>
        </w:rPr>
        <w:t>Efficient energy transfer and fluorescence in SrYAl</w:t>
      </w:r>
      <w:r w:rsidR="001E1782" w:rsidRPr="00B4152B">
        <w:rPr>
          <w:rFonts w:ascii="Calibri" w:eastAsia="Calibri" w:hAnsi="Calibri" w:cs="Calibri"/>
          <w:bCs/>
          <w:sz w:val="18"/>
          <w:vertAlign w:val="subscript"/>
          <w:lang w:val="en-GB"/>
        </w:rPr>
        <w:t>3</w:t>
      </w:r>
      <w:r w:rsidR="001E1782" w:rsidRPr="00B4152B">
        <w:rPr>
          <w:rFonts w:ascii="Calibri" w:eastAsia="Calibri" w:hAnsi="Calibri" w:cs="Calibri"/>
          <w:bCs/>
          <w:sz w:val="18"/>
          <w:lang w:val="en-GB"/>
        </w:rPr>
        <w:t>O</w:t>
      </w:r>
      <w:r w:rsidR="001E1782" w:rsidRPr="00B4152B">
        <w:rPr>
          <w:rFonts w:ascii="Calibri" w:eastAsia="Calibri" w:hAnsi="Calibri" w:cs="Calibri"/>
          <w:bCs/>
          <w:sz w:val="18"/>
          <w:vertAlign w:val="subscript"/>
          <w:lang w:val="en-GB"/>
        </w:rPr>
        <w:t>7</w:t>
      </w:r>
      <w:r w:rsidR="001E1782" w:rsidRPr="00B4152B">
        <w:rPr>
          <w:rFonts w:ascii="Calibri" w:eastAsia="Calibri" w:hAnsi="Calibri" w:cs="Calibri"/>
          <w:bCs/>
          <w:sz w:val="18"/>
          <w:lang w:val="en-GB"/>
        </w:rPr>
        <w:t>:Ce</w:t>
      </w:r>
      <w:r w:rsidR="001E1782" w:rsidRPr="00B4152B">
        <w:rPr>
          <w:rFonts w:ascii="Calibri" w:eastAsia="Calibri" w:hAnsi="Calibri" w:cs="Calibri"/>
          <w:bCs/>
          <w:sz w:val="18"/>
          <w:vertAlign w:val="superscript"/>
          <w:lang w:val="en-GB"/>
        </w:rPr>
        <w:t>3+</w:t>
      </w:r>
      <w:r w:rsidR="001E1782" w:rsidRPr="00B4152B">
        <w:rPr>
          <w:rFonts w:ascii="Calibri" w:eastAsia="Calibri" w:hAnsi="Calibri" w:cs="Calibri"/>
          <w:bCs/>
          <w:sz w:val="18"/>
          <w:lang w:val="en-GB"/>
        </w:rPr>
        <w:t xml:space="preserve">, </w:t>
      </w:r>
      <w:r w:rsidRPr="00B4152B">
        <w:rPr>
          <w:rFonts w:ascii="Calibri" w:eastAsia="Calibri" w:hAnsi="Calibri" w:cs="Calibri"/>
          <w:bCs/>
          <w:sz w:val="18"/>
          <w:lang w:val="en-GB"/>
        </w:rPr>
        <w:t>Tb</w:t>
      </w:r>
      <w:r w:rsidRPr="00B4152B">
        <w:rPr>
          <w:rFonts w:ascii="Calibri" w:eastAsia="Calibri" w:hAnsi="Calibri" w:cs="Calibri"/>
          <w:bCs/>
          <w:sz w:val="18"/>
          <w:vertAlign w:val="superscript"/>
          <w:lang w:val="en-GB"/>
        </w:rPr>
        <w:t>3+</w:t>
      </w:r>
      <w:r w:rsidR="001E1782" w:rsidRPr="00B4152B">
        <w:rPr>
          <w:rFonts w:ascii="Calibri" w:eastAsia="Calibri" w:hAnsi="Calibri" w:cs="Calibri"/>
          <w:bCs/>
          <w:sz w:val="18"/>
          <w:lang w:val="en-GB"/>
        </w:rPr>
        <w:t xml:space="preserve"> phosphor,. Optik </w:t>
      </w:r>
      <w:r w:rsidRPr="00B4152B">
        <w:rPr>
          <w:rFonts w:ascii="Calibri" w:eastAsia="Calibri" w:hAnsi="Calibri" w:cs="Calibri"/>
          <w:bCs/>
          <w:sz w:val="18"/>
          <w:lang w:val="en-GB"/>
        </w:rPr>
        <w:t xml:space="preserve">2018, </w:t>
      </w:r>
      <w:r w:rsidR="001E1782" w:rsidRPr="00B4152B">
        <w:rPr>
          <w:rFonts w:ascii="Calibri" w:eastAsia="Calibri" w:hAnsi="Calibri" w:cs="Calibri"/>
          <w:bCs/>
          <w:sz w:val="18"/>
          <w:lang w:val="en-GB"/>
        </w:rPr>
        <w:t>166</w:t>
      </w:r>
      <w:r w:rsidRPr="00B4152B">
        <w:rPr>
          <w:rFonts w:ascii="Calibri" w:eastAsia="Calibri" w:hAnsi="Calibri" w:cs="Calibri"/>
          <w:bCs/>
          <w:sz w:val="18"/>
          <w:lang w:val="en-GB"/>
        </w:rPr>
        <w:t>,</w:t>
      </w:r>
      <w:r w:rsidR="001E1782" w:rsidRPr="00B4152B">
        <w:rPr>
          <w:rFonts w:ascii="Calibri" w:eastAsia="Calibri" w:hAnsi="Calibri" w:cs="Calibri"/>
          <w:bCs/>
          <w:sz w:val="18"/>
          <w:lang w:val="en-GB"/>
        </w:rPr>
        <w:t xml:space="preserve"> 15–23.</w:t>
      </w:r>
    </w:p>
    <w:p w:rsidR="004A54B2" w:rsidRPr="00B4152B" w:rsidRDefault="00B4152B" w:rsidP="00B4152B">
      <w:pPr>
        <w:tabs>
          <w:tab w:val="left" w:pos="384"/>
        </w:tabs>
        <w:ind w:right="117"/>
        <w:rPr>
          <w:rFonts w:ascii="Calibri" w:eastAsia="Calibri" w:hAnsi="Calibri" w:cs="Calibri"/>
          <w:b/>
          <w:bCs/>
          <w:sz w:val="18"/>
          <w:lang w:val="en-GB"/>
        </w:rPr>
      </w:pPr>
      <w:r w:rsidRPr="00B4152B">
        <w:rPr>
          <w:rFonts w:ascii="Calibri" w:eastAsia="Calibri" w:hAnsi="Calibri" w:cs="Calibri"/>
          <w:b/>
          <w:bCs/>
          <w:sz w:val="18"/>
          <w:lang w:val="en-GB"/>
        </w:rPr>
        <w:t>M.S. Mendhe, P.P. Bhure, P.C. Dhabale, S.G. Revankar</w:t>
      </w:r>
      <w:r>
        <w:rPr>
          <w:rFonts w:ascii="Calibri" w:eastAsia="Calibri" w:hAnsi="Calibri" w:cs="Calibri"/>
          <w:b/>
          <w:bCs/>
          <w:sz w:val="18"/>
          <w:lang w:val="en-GB"/>
        </w:rPr>
        <w:t xml:space="preserve"> and</w:t>
      </w:r>
      <w:r w:rsidRPr="00B4152B">
        <w:rPr>
          <w:rFonts w:ascii="Calibri" w:eastAsia="Calibri" w:hAnsi="Calibri" w:cs="Calibri"/>
          <w:b/>
          <w:bCs/>
          <w:sz w:val="18"/>
          <w:lang w:val="en-GB"/>
        </w:rPr>
        <w:t xml:space="preserve"> S.P. Puppalwar,</w:t>
      </w:r>
      <w:r>
        <w:rPr>
          <w:rFonts w:ascii="Calibri" w:eastAsia="Calibri" w:hAnsi="Calibri" w:cs="Calibri"/>
          <w:b/>
          <w:bCs/>
          <w:sz w:val="18"/>
          <w:lang w:val="en-GB"/>
        </w:rPr>
        <w:t xml:space="preserve"> </w:t>
      </w:r>
      <w:r w:rsidRPr="00B4152B">
        <w:rPr>
          <w:rFonts w:ascii="Calibri" w:eastAsia="Calibri" w:hAnsi="Calibri" w:cs="Calibri"/>
          <w:bCs/>
          <w:sz w:val="18"/>
          <w:lang w:val="en-GB"/>
        </w:rPr>
        <w:t>Improvement of luminescence properties of LaSrAl3O7:Eu3+ phosphor, Materials Today : Proceedings 2019</w:t>
      </w:r>
      <w:r w:rsidRPr="00B4152B">
        <w:rPr>
          <w:rFonts w:ascii="Calibri" w:eastAsia="Calibri" w:hAnsi="Calibri" w:cs="Calibri"/>
          <w:bCs/>
          <w:sz w:val="18"/>
          <w:lang w:val="en-GB"/>
        </w:rPr>
        <w:t>,</w:t>
      </w:r>
      <w:r w:rsidRPr="00B4152B">
        <w:rPr>
          <w:rFonts w:ascii="Calibri" w:eastAsia="Calibri" w:hAnsi="Calibri" w:cs="Calibri"/>
          <w:bCs/>
          <w:sz w:val="18"/>
          <w:lang w:val="en-GB"/>
        </w:rPr>
        <w:t>15(3)</w:t>
      </w:r>
      <w:r w:rsidRPr="00B4152B">
        <w:rPr>
          <w:rFonts w:ascii="Calibri" w:eastAsia="Calibri" w:hAnsi="Calibri" w:cs="Calibri"/>
          <w:bCs/>
          <w:sz w:val="18"/>
          <w:lang w:val="en-GB"/>
        </w:rPr>
        <w:t xml:space="preserve">, </w:t>
      </w:r>
      <w:r w:rsidRPr="00B4152B">
        <w:rPr>
          <w:rFonts w:ascii="Calibri" w:eastAsia="Calibri" w:hAnsi="Calibri" w:cs="Calibri"/>
          <w:bCs/>
          <w:sz w:val="18"/>
          <w:lang w:val="en-GB"/>
        </w:rPr>
        <w:t xml:space="preserve">633–637. </w:t>
      </w:r>
    </w:p>
    <w:p w:rsidR="004A54B2" w:rsidRPr="002B291B" w:rsidRDefault="002B291B" w:rsidP="004A54B2">
      <w:pPr>
        <w:tabs>
          <w:tab w:val="left" w:pos="384"/>
        </w:tabs>
        <w:ind w:right="117"/>
        <w:rPr>
          <w:rFonts w:ascii="Calibri" w:eastAsia="Calibri" w:hAnsi="Calibri" w:cs="Calibri"/>
          <w:sz w:val="18"/>
          <w:lang w:val="en-GB"/>
        </w:rPr>
      </w:pPr>
      <w:r w:rsidRPr="002B291B">
        <w:rPr>
          <w:rFonts w:ascii="Calibri" w:eastAsia="Calibri" w:hAnsi="Calibri" w:cs="Calibri"/>
          <w:b/>
          <w:bCs/>
          <w:sz w:val="18"/>
          <w:lang w:val="en-GB"/>
        </w:rPr>
        <w:t>S.P. Puppalwar</w:t>
      </w:r>
      <w:r>
        <w:rPr>
          <w:rFonts w:ascii="Calibri" w:eastAsia="Calibri" w:hAnsi="Calibri" w:cs="Calibri"/>
          <w:b/>
          <w:bCs/>
          <w:sz w:val="18"/>
          <w:lang w:val="en-GB"/>
        </w:rPr>
        <w:t>,</w:t>
      </w:r>
      <w:r w:rsidRPr="002B291B">
        <w:rPr>
          <w:rFonts w:ascii="Calibri" w:eastAsia="Calibri" w:hAnsi="Calibri" w:cs="Calibri"/>
          <w:b/>
          <w:bCs/>
          <w:sz w:val="18"/>
          <w:lang w:val="en-GB"/>
        </w:rPr>
        <w:t xml:space="preserve"> M.S. Mendhe</w:t>
      </w:r>
      <w:r>
        <w:rPr>
          <w:rFonts w:ascii="Calibri" w:eastAsia="Calibri" w:hAnsi="Calibri" w:cs="Calibri"/>
          <w:b/>
          <w:bCs/>
          <w:sz w:val="18"/>
          <w:lang w:val="en-GB"/>
        </w:rPr>
        <w:t xml:space="preserve"> and</w:t>
      </w:r>
      <w:r w:rsidRPr="002B291B">
        <w:rPr>
          <w:rFonts w:ascii="Calibri" w:eastAsia="Calibri" w:hAnsi="Calibri" w:cs="Calibri"/>
          <w:b/>
          <w:bCs/>
          <w:sz w:val="18"/>
          <w:lang w:val="en-GB"/>
        </w:rPr>
        <w:t xml:space="preserve"> S.J. Dhoble. </w:t>
      </w:r>
      <w:r w:rsidRPr="002B291B">
        <w:rPr>
          <w:rFonts w:ascii="Calibri" w:eastAsia="Calibri" w:hAnsi="Calibri" w:cs="Calibri"/>
          <w:bCs/>
          <w:sz w:val="18"/>
          <w:lang w:val="en-GB"/>
        </w:rPr>
        <w:t>Tunable luminescence properties and energy transfer in LaAl11O18: Eu, Tb phosphor, Luminescence: J</w:t>
      </w:r>
      <w:r>
        <w:rPr>
          <w:rFonts w:ascii="Calibri" w:eastAsia="Calibri" w:hAnsi="Calibri" w:cs="Calibri"/>
          <w:bCs/>
          <w:sz w:val="18"/>
          <w:lang w:val="en-GB"/>
        </w:rPr>
        <w:t>.</w:t>
      </w:r>
      <w:r w:rsidRPr="002B291B">
        <w:rPr>
          <w:rFonts w:ascii="Calibri" w:eastAsia="Calibri" w:hAnsi="Calibri" w:cs="Calibri"/>
          <w:bCs/>
          <w:sz w:val="18"/>
          <w:lang w:val="en-GB"/>
        </w:rPr>
        <w:t xml:space="preserve"> Bio and Chem Luminescence. 2016</w:t>
      </w:r>
      <w:r>
        <w:rPr>
          <w:rFonts w:ascii="Calibri" w:eastAsia="Calibri" w:hAnsi="Calibri" w:cs="Calibri"/>
          <w:bCs/>
          <w:sz w:val="18"/>
          <w:lang w:val="en-GB"/>
        </w:rPr>
        <w:t xml:space="preserve">, </w:t>
      </w:r>
      <w:r w:rsidRPr="002B291B">
        <w:rPr>
          <w:rFonts w:ascii="Calibri" w:eastAsia="Calibri" w:hAnsi="Calibri" w:cs="Calibri"/>
          <w:bCs/>
          <w:sz w:val="18"/>
          <w:lang w:val="en-GB"/>
        </w:rPr>
        <w:t>31(3)</w:t>
      </w:r>
      <w:r>
        <w:rPr>
          <w:rFonts w:ascii="Calibri" w:eastAsia="Calibri" w:hAnsi="Calibri" w:cs="Calibri"/>
          <w:bCs/>
          <w:sz w:val="18"/>
          <w:lang w:val="en-GB"/>
        </w:rPr>
        <w:t>,</w:t>
      </w:r>
      <w:r w:rsidRPr="002B291B">
        <w:rPr>
          <w:rFonts w:ascii="Calibri" w:eastAsia="Calibri" w:hAnsi="Calibri" w:cs="Calibri"/>
          <w:bCs/>
          <w:sz w:val="18"/>
          <w:lang w:val="en-GB"/>
        </w:rPr>
        <w:t xml:space="preserve"> 881-887.</w:t>
      </w:r>
    </w:p>
    <w:p w:rsidR="00AE3E37" w:rsidRPr="008756E6" w:rsidRDefault="002B291B" w:rsidP="004A54B2">
      <w:pPr>
        <w:tabs>
          <w:tab w:val="left" w:pos="384"/>
        </w:tabs>
        <w:ind w:right="117"/>
      </w:pPr>
      <w:r w:rsidRPr="002B291B">
        <w:rPr>
          <w:rFonts w:ascii="Calibri" w:eastAsia="Calibri" w:hAnsi="Calibri" w:cs="Calibri"/>
          <w:b/>
          <w:bCs/>
          <w:sz w:val="18"/>
          <w:lang w:val="en-GB"/>
        </w:rPr>
        <w:t>M.S. Mendhe, S.P. Puppalwar</w:t>
      </w:r>
      <w:r>
        <w:rPr>
          <w:rFonts w:ascii="Calibri" w:eastAsia="Calibri" w:hAnsi="Calibri" w:cs="Calibri"/>
          <w:b/>
          <w:bCs/>
          <w:sz w:val="18"/>
          <w:lang w:val="en-GB"/>
        </w:rPr>
        <w:t xml:space="preserve"> and</w:t>
      </w:r>
      <w:r w:rsidRPr="002B291B">
        <w:rPr>
          <w:rFonts w:ascii="Calibri" w:eastAsia="Calibri" w:hAnsi="Calibri" w:cs="Calibri"/>
          <w:b/>
          <w:bCs/>
          <w:sz w:val="18"/>
          <w:lang w:val="en-GB"/>
        </w:rPr>
        <w:t xml:space="preserve"> S.J. Dhoble</w:t>
      </w:r>
      <w:r>
        <w:rPr>
          <w:rFonts w:ascii="Calibri" w:eastAsia="Calibri" w:hAnsi="Calibri" w:cs="Calibri"/>
          <w:b/>
          <w:bCs/>
          <w:sz w:val="18"/>
          <w:lang w:val="en-GB"/>
        </w:rPr>
        <w:t>,</w:t>
      </w:r>
      <w:r w:rsidRPr="002B291B">
        <w:rPr>
          <w:rFonts w:ascii="Calibri" w:eastAsia="Calibri" w:hAnsi="Calibri" w:cs="Calibri"/>
          <w:b/>
          <w:bCs/>
          <w:sz w:val="18"/>
          <w:lang w:val="en-GB"/>
        </w:rPr>
        <w:t xml:space="preserve"> </w:t>
      </w:r>
      <w:r w:rsidRPr="002B291B">
        <w:rPr>
          <w:rFonts w:ascii="Calibri" w:eastAsia="Calibri" w:hAnsi="Calibri" w:cs="Calibri"/>
          <w:bCs/>
          <w:sz w:val="18"/>
          <w:lang w:val="en-GB"/>
        </w:rPr>
        <w:t>Synthesis and Optical Properties of Eu</w:t>
      </w:r>
      <w:r w:rsidRPr="002B291B">
        <w:rPr>
          <w:rFonts w:ascii="Calibri" w:eastAsia="Calibri" w:hAnsi="Calibri" w:cs="Calibri"/>
          <w:bCs/>
          <w:sz w:val="18"/>
          <w:vertAlign w:val="superscript"/>
          <w:lang w:val="en-GB"/>
        </w:rPr>
        <w:t>3+</w:t>
      </w:r>
      <w:r w:rsidRPr="002B291B">
        <w:rPr>
          <w:rFonts w:ascii="Calibri" w:eastAsia="Calibri" w:hAnsi="Calibri" w:cs="Calibri"/>
          <w:bCs/>
          <w:sz w:val="18"/>
          <w:lang w:val="en-GB"/>
        </w:rPr>
        <w:t xml:space="preserve"> Activated YAlO</w:t>
      </w:r>
      <w:r w:rsidRPr="002B291B">
        <w:rPr>
          <w:rFonts w:ascii="Calibri" w:eastAsia="Calibri" w:hAnsi="Calibri" w:cs="Calibri"/>
          <w:bCs/>
          <w:sz w:val="18"/>
          <w:vertAlign w:val="subscript"/>
          <w:lang w:val="en-GB"/>
        </w:rPr>
        <w:t>3</w:t>
      </w:r>
      <w:r w:rsidRPr="002B291B">
        <w:rPr>
          <w:rFonts w:ascii="Calibri" w:eastAsia="Calibri" w:hAnsi="Calibri" w:cs="Calibri"/>
          <w:bCs/>
          <w:sz w:val="18"/>
          <w:lang w:val="en-GB"/>
        </w:rPr>
        <w:t xml:space="preserve"> Red Phosphor,. J. Science and </w:t>
      </w:r>
      <w:r w:rsidR="00B27F5E" w:rsidRPr="002B291B">
        <w:rPr>
          <w:rFonts w:ascii="Calibri" w:eastAsia="Calibri" w:hAnsi="Calibri" w:cs="Calibri"/>
          <w:bCs/>
          <w:sz w:val="18"/>
          <w:lang w:val="en-GB"/>
        </w:rPr>
        <w:t>Research 2015</w:t>
      </w:r>
      <w:r>
        <w:rPr>
          <w:rFonts w:ascii="Calibri" w:eastAsia="Calibri" w:hAnsi="Calibri" w:cs="Calibri"/>
          <w:bCs/>
          <w:sz w:val="18"/>
          <w:lang w:val="en-GB"/>
        </w:rPr>
        <w:t xml:space="preserve">, </w:t>
      </w:r>
      <w:r w:rsidRPr="002B291B">
        <w:rPr>
          <w:rFonts w:ascii="Calibri" w:eastAsia="Calibri" w:hAnsi="Calibri" w:cs="Calibri"/>
          <w:bCs/>
          <w:sz w:val="18"/>
          <w:lang w:val="en-GB"/>
        </w:rPr>
        <w:t>22(24)</w:t>
      </w:r>
      <w:r w:rsidR="00B27F5E">
        <w:rPr>
          <w:rFonts w:ascii="Calibri" w:eastAsia="Calibri" w:hAnsi="Calibri" w:cs="Calibri"/>
          <w:bCs/>
          <w:sz w:val="18"/>
          <w:lang w:val="en-GB"/>
        </w:rPr>
        <w:t>,</w:t>
      </w:r>
      <w:r w:rsidRPr="002B291B">
        <w:rPr>
          <w:rFonts w:ascii="Calibri" w:eastAsia="Calibri" w:hAnsi="Calibri" w:cs="Calibri"/>
          <w:bCs/>
          <w:sz w:val="18"/>
          <w:lang w:val="en-GB"/>
        </w:rPr>
        <w:t xml:space="preserve"> 436-439.</w:t>
      </w:r>
      <w:r w:rsidR="004A54B2" w:rsidRPr="002B291B">
        <w:rPr>
          <w:rFonts w:ascii="Calibri" w:eastAsia="Calibri" w:hAnsi="Calibri" w:cs="Calibri"/>
          <w:b/>
          <w:bCs/>
          <w:sz w:val="18"/>
          <w:lang w:val="en-GB"/>
        </w:rPr>
        <w:br/>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3E335F">
      <w:pPr>
        <w:pStyle w:val="BodyText"/>
        <w:spacing w:line="40" w:lineRule="exact"/>
        <w:ind w:left="2202"/>
        <w:rPr>
          <w:rFonts w:ascii="Calibri"/>
          <w:sz w:val="4"/>
        </w:rPr>
      </w:pPr>
      <w:r w:rsidRPr="003E335F">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457F73" w:rsidRDefault="008756E6" w:rsidP="00404E5B">
      <w:pPr>
        <w:spacing w:before="92"/>
        <w:ind w:right="4234"/>
        <w:rPr>
          <w:noProof/>
        </w:rPr>
      </w:pPr>
      <w:r>
        <w:rPr>
          <w:noProof/>
        </w:rPr>
        <w:t xml:space="preserve">             </w:t>
      </w:r>
    </w:p>
    <w:p w:rsidR="00457F73" w:rsidRDefault="008E4FA3" w:rsidP="00404E5B">
      <w:pPr>
        <w:spacing w:before="92"/>
        <w:ind w:right="4234"/>
        <w:rPr>
          <w:rFonts w:ascii="Arial"/>
          <w:color w:val="BF5A14"/>
        </w:rPr>
      </w:pPr>
      <w:r>
        <w:rPr>
          <w:rFonts w:ascii="Arial"/>
          <w:color w:val="BF5A14"/>
        </w:rPr>
        <w:t>Biography</w:t>
      </w:r>
    </w:p>
    <w:p w:rsidR="008E4FA3" w:rsidRDefault="008E4FA3" w:rsidP="00404E5B">
      <w:pPr>
        <w:spacing w:before="92"/>
        <w:ind w:right="4234"/>
        <w:rPr>
          <w:noProof/>
        </w:rPr>
      </w:pPr>
    </w:p>
    <w:p w:rsidR="008E4FA3" w:rsidRDefault="008E4FA3" w:rsidP="008E4FA3">
      <w:pPr>
        <w:spacing w:before="92"/>
        <w:ind w:right="4234"/>
        <w:rPr>
          <w:rFonts w:ascii="Arial"/>
          <w:color w:val="BF5A14"/>
        </w:rPr>
      </w:pPr>
      <w:r w:rsidRPr="008E4FA3">
        <w:rPr>
          <w:rFonts w:ascii="Arial"/>
          <w:noProof/>
          <w:color w:val="BF5A14"/>
          <w:lang w:eastAsia="zh-TW"/>
        </w:rPr>
        <w:pict>
          <v:shapetype id="_x0000_t202" coordsize="21600,21600" o:spt="202" path="m,l,21600r21600,l21600,xe">
            <v:stroke joinstyle="miter"/>
            <v:path gradientshapeok="t" o:connecttype="rect"/>
          </v:shapetype>
          <v:shape id="_x0000_s1030" type="#_x0000_t202" style="position:absolute;margin-left:162.1pt;margin-top:549.7pt;width:385.1pt;height:117.7pt;z-index:251660288;mso-position-horizontal-relative:page;mso-position-vertical-relative:page;mso-width-relative:margin;v-text-anchor:middle" o:allowincell="f" filled="f" strokecolor="#622423 [1605]" strokeweight="6pt">
            <v:stroke linestyle="thickThin"/>
            <v:textbox style="mso-next-textbox:#_x0000_s1030" inset="10.8pt,7.2pt,10.8pt,7.2pt">
              <w:txbxContent>
                <w:p w:rsidR="008E4FA3" w:rsidRPr="008E4FA3" w:rsidRDefault="008E4FA3" w:rsidP="008E4FA3">
                  <w:pPr>
                    <w:spacing w:before="92"/>
                    <w:ind w:right="70"/>
                    <w:jc w:val="both"/>
                    <w:rPr>
                      <w:noProof/>
                    </w:rPr>
                  </w:pPr>
                  <w:r w:rsidRPr="00072247">
                    <w:rPr>
                      <w:rFonts w:ascii="Arial"/>
                      <w:sz w:val="16"/>
                      <w:szCs w:val="16"/>
                    </w:rPr>
                    <w:t>S. P.  Puppalwar obtained M.Sc. degree in Physics from RTM Nagpur University, Nagpur, India. He did Ph.D. in Physics</w:t>
                  </w:r>
                  <w:r>
                    <w:rPr>
                      <w:rFonts w:ascii="Arial"/>
                      <w:sz w:val="16"/>
                      <w:szCs w:val="16"/>
                    </w:rPr>
                    <w:t>: Luminescence and TL Dosimetry</w:t>
                  </w:r>
                  <w:r w:rsidRPr="00072247">
                    <w:rPr>
                      <w:rFonts w:ascii="Arial"/>
                      <w:sz w:val="16"/>
                      <w:szCs w:val="16"/>
                    </w:rPr>
                    <w:t xml:space="preserve"> in 2012. Dr. S. P. Puppalwar is presently working as Associate Professor in Department of Physics, Kamla Nehru Mahavidyalaya, Nagpur (NAAC accreditated with A+ grade). His research of interest is synthesis and characterization of Luminescent materials and development of TLD phosphors for radiation dosimetry. Around 32 papers are published in national and international reputed journals. He has completed one UGC project. He is a member of Luminescence Society of India and also a member of International Association of Advanced Materials, Sweden.</w:t>
                  </w:r>
                </w:p>
                <w:p w:rsidR="008E4FA3" w:rsidRPr="008E4FA3" w:rsidRDefault="008E4FA3">
                  <w:pPr>
                    <w:spacing w:line="360" w:lineRule="auto"/>
                    <w:jc w:val="center"/>
                    <w:rPr>
                      <w:rFonts w:asciiTheme="majorHAnsi" w:eastAsiaTheme="majorEastAsia" w:hAnsiTheme="majorHAnsi" w:cstheme="majorBidi"/>
                      <w:iCs/>
                      <w:sz w:val="28"/>
                      <w:szCs w:val="28"/>
                    </w:rPr>
                  </w:pPr>
                </w:p>
              </w:txbxContent>
            </v:textbox>
            <w10:wrap type="square" anchorx="page" anchory="page"/>
          </v:shape>
        </w:pict>
      </w:r>
      <w:r>
        <w:rPr>
          <w:rFonts w:ascii="Arial"/>
          <w:color w:val="BF5A14"/>
        </w:rPr>
        <w:t xml:space="preserve"> </w:t>
      </w:r>
      <w:r w:rsidRPr="008E4FA3">
        <w:rPr>
          <w:rFonts w:ascii="Arial"/>
          <w:color w:val="BF5A14"/>
        </w:rPr>
        <w:drawing>
          <wp:inline distT="0" distB="0" distL="0" distR="0">
            <wp:extent cx="1443990" cy="1462569"/>
            <wp:effectExtent l="19050" t="0" r="3810" b="0"/>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1446961" cy="1465578"/>
                    </a:xfrm>
                    <a:prstGeom prst="rect">
                      <a:avLst/>
                    </a:prstGeom>
                    <a:noFill/>
                    <a:ln w="9525">
                      <a:noFill/>
                      <a:miter lim="800000"/>
                      <a:headEnd/>
                      <a:tailEnd/>
                    </a:ln>
                  </pic:spPr>
                </pic:pic>
              </a:graphicData>
            </a:graphic>
          </wp:inline>
        </w:drawing>
      </w:r>
      <w:r>
        <w:rPr>
          <w:rFonts w:ascii="Arial"/>
          <w:color w:val="BF5A14"/>
        </w:rPr>
        <w:t xml:space="preserve">  </w:t>
      </w:r>
    </w:p>
    <w:p w:rsidR="008E4FA3" w:rsidRDefault="008E4FA3" w:rsidP="00072247">
      <w:pPr>
        <w:tabs>
          <w:tab w:val="left" w:pos="10620"/>
        </w:tabs>
        <w:spacing w:before="62"/>
        <w:ind w:left="180" w:right="70"/>
        <w:rPr>
          <w:rFonts w:ascii="Arial"/>
          <w:sz w:val="14"/>
        </w:rPr>
      </w:pPr>
    </w:p>
    <w:p w:rsidR="00AE3E37" w:rsidRPr="008E4FA3" w:rsidRDefault="00A9710C" w:rsidP="00072247">
      <w:pPr>
        <w:tabs>
          <w:tab w:val="left" w:pos="10620"/>
        </w:tabs>
        <w:spacing w:before="62"/>
        <w:ind w:left="180" w:right="70"/>
        <w:rPr>
          <w:rFonts w:ascii="Arial"/>
          <w:sz w:val="16"/>
          <w:szCs w:val="16"/>
        </w:rPr>
      </w:pPr>
      <w:r w:rsidRPr="008E4FA3">
        <w:rPr>
          <w:rFonts w:ascii="Arial"/>
          <w:sz w:val="16"/>
          <w:szCs w:val="16"/>
        </w:rPr>
        <w:t xml:space="preserve">Email: </w:t>
      </w:r>
      <w:r w:rsidR="008E4FA3" w:rsidRPr="008E4FA3">
        <w:rPr>
          <w:rFonts w:ascii="Arial"/>
          <w:sz w:val="16"/>
          <w:szCs w:val="16"/>
        </w:rPr>
        <w:t>suresh.puppalwar@gmail.com</w:t>
      </w:r>
    </w:p>
    <w:p w:rsidR="008E4FA3" w:rsidRPr="008E4FA3" w:rsidRDefault="008E4FA3" w:rsidP="008E4FA3">
      <w:pPr>
        <w:tabs>
          <w:tab w:val="left" w:pos="10620"/>
        </w:tabs>
        <w:spacing w:before="62"/>
        <w:ind w:left="180" w:right="70"/>
        <w:rPr>
          <w:rFonts w:ascii="Arial"/>
          <w:sz w:val="16"/>
          <w:szCs w:val="16"/>
        </w:rPr>
      </w:pPr>
      <w:r w:rsidRPr="008E4FA3">
        <w:rPr>
          <w:rFonts w:ascii="Arial"/>
          <w:sz w:val="16"/>
          <w:szCs w:val="16"/>
        </w:rPr>
        <w:t xml:space="preserve">Full name: Dr. Suresh P. Puppalwar          </w:t>
      </w:r>
    </w:p>
    <w:p w:rsidR="00AE3E37" w:rsidRDefault="008E4FA3" w:rsidP="008E4FA3">
      <w:pPr>
        <w:pStyle w:val="BodyText"/>
        <w:spacing w:before="2"/>
        <w:rPr>
          <w:rFonts w:ascii="Arial"/>
          <w:sz w:val="19"/>
        </w:rPr>
      </w:pPr>
      <w:r>
        <w:rPr>
          <w:rFonts w:ascii="Arial"/>
          <w:sz w:val="16"/>
          <w:szCs w:val="16"/>
        </w:rPr>
        <w:t xml:space="preserve">    </w:t>
      </w:r>
      <w:r w:rsidRPr="008E4FA3">
        <w:rPr>
          <w:rFonts w:ascii="Arial"/>
          <w:sz w:val="16"/>
          <w:szCs w:val="16"/>
        </w:rPr>
        <w:t>Contact number: +91 9881049243</w: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8E4FA3" w:rsidRDefault="00AE3E37" w:rsidP="008E4FA3">
      <w:pPr>
        <w:spacing w:before="39"/>
        <w:rPr>
          <w:rFonts w:ascii="Minion Pro"/>
          <w:b/>
          <w:sz w:val="20"/>
        </w:rPr>
        <w:sectPr w:rsidR="00AE3E37" w:rsidRPr="008E4FA3">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40B3" w:rsidRDefault="00E340B3">
      <w:r>
        <w:separator/>
      </w:r>
    </w:p>
  </w:endnote>
  <w:endnote w:type="continuationSeparator" w:id="1">
    <w:p w:rsidR="00E340B3" w:rsidRDefault="00E340B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E335F">
    <w:pPr>
      <w:pStyle w:val="BodyText"/>
      <w:spacing w:line="14" w:lineRule="auto"/>
      <w:rPr>
        <w:sz w:val="20"/>
      </w:rPr>
    </w:pPr>
    <w:r w:rsidRPr="003E335F">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w:r>
    <w:r w:rsidRPr="003E335F">
      <w:rPr>
        <w:noProof/>
      </w:rPr>
      <w:pict>
        <v:shape id="Text Box 2" o:spid="_x0000_s2050"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sidRPr="003E335F">
      <w:rPr>
        <w:noProof/>
      </w:rPr>
      <w:pict>
        <v:shape id="Text Box 1" o:spid="_x0000_s2049"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40B3" w:rsidRDefault="00E340B3">
      <w:r>
        <w:separator/>
      </w:r>
    </w:p>
  </w:footnote>
  <w:footnote w:type="continuationSeparator" w:id="1">
    <w:p w:rsidR="00E340B3" w:rsidRDefault="00E340B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E335F">
    <w:pPr>
      <w:pStyle w:val="BodyText"/>
      <w:spacing w:line="14" w:lineRule="auto"/>
      <w:rPr>
        <w:sz w:val="20"/>
      </w:rPr>
    </w:pPr>
    <w:r w:rsidRPr="003E335F">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v:textbox>
          <w10:wrap anchorx="page" anchory="page"/>
        </v:shape>
      </w:pict>
    </w:r>
    <w:r w:rsidRPr="003E335F">
      <w:rPr>
        <w:noProof/>
      </w:rPr>
      <w:pict>
        <v:shape id="Text Box 4" o:spid="_x0000_s2052"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defaultTabStop w:val="720"/>
  <w:drawingGridHorizontalSpacing w:val="110"/>
  <w:displayHorizontalDrawingGridEvery w:val="2"/>
  <w:characterSpacingControl w:val="doNotCompress"/>
  <w:hdrShapeDefaults>
    <o:shapedefaults v:ext="edit" spidmax="5122"/>
    <o:shapelayout v:ext="edit">
      <o:idmap v:ext="edit" data="2"/>
    </o:shapelayout>
  </w:hdrShapeDefaults>
  <w:footnotePr>
    <w:footnote w:id="0"/>
    <w:footnote w:id="1"/>
  </w:footnotePr>
  <w:endnotePr>
    <w:endnote w:id="0"/>
    <w:endnote w:id="1"/>
  </w:endnotePr>
  <w:compat>
    <w:ulTrailSpace/>
  </w:compat>
  <w:rsids>
    <w:rsidRoot w:val="00A90E33"/>
    <w:rsid w:val="00072247"/>
    <w:rsid w:val="000E2911"/>
    <w:rsid w:val="001263DF"/>
    <w:rsid w:val="00134296"/>
    <w:rsid w:val="001D75CF"/>
    <w:rsid w:val="001E1782"/>
    <w:rsid w:val="00227290"/>
    <w:rsid w:val="00292ED9"/>
    <w:rsid w:val="002B291B"/>
    <w:rsid w:val="003E335F"/>
    <w:rsid w:val="00404E5B"/>
    <w:rsid w:val="00414F7B"/>
    <w:rsid w:val="004355DC"/>
    <w:rsid w:val="00457F73"/>
    <w:rsid w:val="004749B4"/>
    <w:rsid w:val="00494130"/>
    <w:rsid w:val="004A54B2"/>
    <w:rsid w:val="004F3523"/>
    <w:rsid w:val="00535523"/>
    <w:rsid w:val="00572DCD"/>
    <w:rsid w:val="005973B9"/>
    <w:rsid w:val="005B3A56"/>
    <w:rsid w:val="005E608E"/>
    <w:rsid w:val="006060CE"/>
    <w:rsid w:val="00616C38"/>
    <w:rsid w:val="0063497F"/>
    <w:rsid w:val="007B0EBB"/>
    <w:rsid w:val="00873DF0"/>
    <w:rsid w:val="008756E6"/>
    <w:rsid w:val="008A7674"/>
    <w:rsid w:val="008E4FA3"/>
    <w:rsid w:val="009B2D44"/>
    <w:rsid w:val="00A07E82"/>
    <w:rsid w:val="00A90E33"/>
    <w:rsid w:val="00A9710C"/>
    <w:rsid w:val="00AE3E37"/>
    <w:rsid w:val="00B21A57"/>
    <w:rsid w:val="00B27F5E"/>
    <w:rsid w:val="00B4152B"/>
    <w:rsid w:val="00C33602"/>
    <w:rsid w:val="00C938CB"/>
    <w:rsid w:val="00CD6F55"/>
    <w:rsid w:val="00D80622"/>
    <w:rsid w:val="00DC7620"/>
    <w:rsid w:val="00DE3104"/>
    <w:rsid w:val="00E340B3"/>
    <w:rsid w:val="00EF6537"/>
    <w:rsid w:val="00F40193"/>
    <w:rsid w:val="00F53D16"/>
    <w:rsid w:val="00F541B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Gautami"/>
        <w:lang w:val="en-IN" w:eastAsia="en-IN" w:bidi="mr-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lang w:val="en-US" w:eastAsia="en-US" w:bidi="ar-SA"/>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Abstract-template-Athe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Abstract-template-Athens</Template>
  <TotalTime>49</TotalTime>
  <Pages>1</Pages>
  <Words>478</Words>
  <Characters>2729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3201</CharactersWithSpaces>
  <SharedDoc>false</SharedDoc>
  <HLinks>
    <vt:vector size="18" baseType="variant">
      <vt:variant>
        <vt:i4>327741</vt:i4>
      </vt:variant>
      <vt:variant>
        <vt:i4>6</vt:i4>
      </vt:variant>
      <vt:variant>
        <vt:i4>0</vt:i4>
      </vt:variant>
      <vt:variant>
        <vt:i4>5</vt:i4>
      </vt:variant>
      <vt:variant>
        <vt:lpwstr>mailto:drXXXXXXX@xxxmail.com</vt:lpwstr>
      </vt:variant>
      <vt:variant>
        <vt:lpwstr/>
      </vt:variant>
      <vt:variant>
        <vt:i4>4653082</vt:i4>
      </vt:variant>
      <vt:variant>
        <vt:i4>0</vt:i4>
      </vt:variant>
      <vt:variant>
        <vt:i4>0</vt:i4>
      </vt:variant>
      <vt:variant>
        <vt:i4>5</vt:i4>
      </vt:variant>
      <vt:variant>
        <vt:lpwstr>https://www.magonlinelibrary.com/doi/abs/10.12968/hmed.2017.78.12.730</vt:lpwstr>
      </vt:variant>
      <vt:variant>
        <vt:lpwstr/>
      </vt:variant>
      <vt:variant>
        <vt:i4>7995442</vt:i4>
      </vt:variant>
      <vt:variant>
        <vt:i4>0</vt:i4>
      </vt:variant>
      <vt:variant>
        <vt:i4>0</vt:i4>
      </vt:variant>
      <vt:variant>
        <vt:i4>5</vt:i4>
      </vt:variant>
      <vt:variant>
        <vt:lpwstr>http://dx.doi.org/10.4172/2167-0846.C1.006</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2020-02-19T22:20:00Z</dcterms:created>
  <dcterms:modified xsi:type="dcterms:W3CDTF">2020-02-19T23:20:00Z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