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74575" w14:textId="77777777" w:rsidR="00E76441" w:rsidRDefault="00E76441" w:rsidP="00E76441">
      <w:pPr>
        <w:spacing w:line="480" w:lineRule="auto"/>
        <w:rPr>
          <w:rFonts w:asciiTheme="majorBidi" w:hAnsiTheme="majorBidi" w:cstheme="majorBidi"/>
          <w:b/>
          <w:bCs/>
          <w:color w:val="000000" w:themeColor="text1"/>
          <w:sz w:val="24"/>
          <w:szCs w:val="24"/>
          <w:lang w:val="en-US"/>
        </w:rPr>
      </w:pPr>
    </w:p>
    <w:p w14:paraId="7556CDEC" w14:textId="77777777" w:rsidR="00E76441" w:rsidRDefault="00E76441" w:rsidP="00E76441">
      <w:pPr>
        <w:spacing w:line="276" w:lineRule="auto"/>
        <w:rPr>
          <w:rFonts w:asciiTheme="majorBidi" w:hAnsiTheme="majorBidi" w:cstheme="majorBidi"/>
          <w:b/>
          <w:bCs/>
          <w:color w:val="0070C0"/>
          <w:sz w:val="36"/>
          <w:szCs w:val="36"/>
          <w:lang w:val="en-US"/>
        </w:rPr>
      </w:pPr>
      <w:r w:rsidRPr="00E76441">
        <w:rPr>
          <w:rFonts w:asciiTheme="majorBidi" w:hAnsiTheme="majorBidi" w:cstheme="majorBidi"/>
          <w:b/>
          <w:bCs/>
          <w:color w:val="0070C0"/>
          <w:sz w:val="36"/>
          <w:szCs w:val="36"/>
          <w:lang w:val="en-US"/>
        </w:rPr>
        <w:t>Monoclonal Antibodies for the Treatment of Graves Ophthalmopathy: A Systematic Review and Meta-analysis</w:t>
      </w:r>
    </w:p>
    <w:p w14:paraId="4B2DAC3C" w14:textId="21F5FF7B" w:rsidR="00E76441" w:rsidRPr="00E76441" w:rsidRDefault="00E76441" w:rsidP="00E76441">
      <w:pPr>
        <w:spacing w:line="276" w:lineRule="auto"/>
        <w:rPr>
          <w:rFonts w:asciiTheme="minorBidi" w:hAnsiTheme="minorBidi"/>
          <w:b/>
          <w:bCs/>
          <w:color w:val="ED7D31" w:themeColor="accent2"/>
          <w:sz w:val="20"/>
          <w:szCs w:val="20"/>
          <w:lang w:val="en-US"/>
        </w:rPr>
      </w:pPr>
      <w:r w:rsidRPr="00E76441">
        <w:rPr>
          <w:rFonts w:asciiTheme="minorBidi" w:hAnsiTheme="minorBidi"/>
          <w:b/>
          <w:bCs/>
          <w:color w:val="ED7D31" w:themeColor="accent2"/>
          <w:sz w:val="20"/>
          <w:szCs w:val="20"/>
          <w:lang w:val="en-US"/>
        </w:rPr>
        <w:t>Abstract</w:t>
      </w:r>
    </w:p>
    <w:p w14:paraId="1CFA1E52" w14:textId="3C50C864" w:rsid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The traditional standard of care for Graves’ ophthalmopathy (GO) is glucocorticoids therapy, which is associated with many long-term side effects.</w:t>
      </w:r>
      <w:r w:rsidRPr="00E76441">
        <w:rPr>
          <w:rFonts w:asciiTheme="minorBidi" w:eastAsia="Times New Roman" w:hAnsiTheme="minorBidi"/>
          <w:color w:val="000000" w:themeColor="text1"/>
          <w:sz w:val="20"/>
          <w:szCs w:val="20"/>
          <w:bdr w:val="none" w:sz="0" w:space="0" w:color="auto" w:frame="1"/>
          <w:lang w:val="en-US"/>
        </w:rPr>
        <w:t xml:space="preserve"> The aim of this systematic review and meta-analysis was to compare the traditional therapy to novel monoclonal antibodies (e.g., rituximab, teprotumumab, and tocilizumab). We searched the Medline, Embase, and Cochrane Central Register of Controlled Trials (CENTRAL) databases. We included randomized controlled trials (RCTs) that compared different monoclonal antibodies (e.g., rituximab, teprotumumab, and tocilizumab) with glucocorticoids or placebo in patients with GO. We evaluated the clinical activity score (CAS), proptosis, subjective diplopia using the Gorman score, quality of life (</w:t>
      </w:r>
      <w:proofErr w:type="spellStart"/>
      <w:r w:rsidRPr="00E76441">
        <w:rPr>
          <w:rFonts w:asciiTheme="minorBidi" w:eastAsia="Times New Roman" w:hAnsiTheme="minorBidi"/>
          <w:color w:val="000000" w:themeColor="text1"/>
          <w:sz w:val="20"/>
          <w:szCs w:val="20"/>
          <w:bdr w:val="none" w:sz="0" w:space="0" w:color="auto" w:frame="1"/>
          <w:lang w:val="en-US"/>
        </w:rPr>
        <w:t>QoT</w:t>
      </w:r>
      <w:proofErr w:type="spellEnd"/>
      <w:r w:rsidRPr="00E76441">
        <w:rPr>
          <w:rFonts w:asciiTheme="minorBidi" w:eastAsia="Times New Roman" w:hAnsiTheme="minorBidi"/>
          <w:color w:val="000000" w:themeColor="text1"/>
          <w:sz w:val="20"/>
          <w:szCs w:val="20"/>
          <w:bdr w:val="none" w:sz="0" w:space="0" w:color="auto" w:frame="1"/>
          <w:lang w:val="en-US"/>
        </w:rPr>
        <w:t>), adverse events, change in lid fissure, NOSPECS score, and TSH receptor antibodies (</w:t>
      </w:r>
      <w:proofErr w:type="spellStart"/>
      <w:r w:rsidRPr="00E76441">
        <w:rPr>
          <w:rFonts w:asciiTheme="minorBidi" w:eastAsia="Times New Roman" w:hAnsiTheme="minorBidi"/>
          <w:color w:val="000000" w:themeColor="text1"/>
          <w:sz w:val="20"/>
          <w:szCs w:val="20"/>
          <w:bdr w:val="none" w:sz="0" w:space="0" w:color="auto" w:frame="1"/>
          <w:lang w:val="en-US"/>
        </w:rPr>
        <w:t>TRAb</w:t>
      </w:r>
      <w:proofErr w:type="spellEnd"/>
      <w:r w:rsidRPr="00E76441">
        <w:rPr>
          <w:rFonts w:asciiTheme="minorBidi" w:eastAsia="Times New Roman" w:hAnsiTheme="minorBidi"/>
          <w:color w:val="000000" w:themeColor="text1"/>
          <w:sz w:val="20"/>
          <w:szCs w:val="20"/>
          <w:bdr w:val="none" w:sz="0" w:space="0" w:color="auto" w:frame="1"/>
          <w:lang w:val="en-US"/>
        </w:rPr>
        <w:t>) levels. The odds ratio (OR) was used to represent dichotomous outcomes. The continuous outcomes were represented as standardized mean difference (SMD). Data were pooled using the inverse variance weighting method. Risk of bias was assessed using the Revised Cochrane risk of bias tool for randomized trials.</w:t>
      </w:r>
      <w:r w:rsidRPr="00E76441">
        <w:rPr>
          <w:rFonts w:asciiTheme="minorBidi" w:hAnsiTheme="minorBidi"/>
          <w:color w:val="000000" w:themeColor="text1"/>
          <w:sz w:val="20"/>
          <w:szCs w:val="20"/>
        </w:rPr>
        <w:t xml:space="preserve"> </w:t>
      </w:r>
      <w:r w:rsidRPr="00E76441">
        <w:rPr>
          <w:rFonts w:asciiTheme="minorBidi" w:eastAsia="Times New Roman" w:hAnsiTheme="minorBidi"/>
          <w:color w:val="000000" w:themeColor="text1"/>
          <w:sz w:val="20"/>
          <w:szCs w:val="20"/>
          <w:bdr w:val="none" w:sz="0" w:space="0" w:color="auto" w:frame="1"/>
          <w:lang w:val="en-US"/>
        </w:rPr>
        <w:t>Six RCTs (n=571) were deemed eligible.</w:t>
      </w:r>
      <w:r w:rsidRPr="00E76441">
        <w:rPr>
          <w:rFonts w:asciiTheme="minorBidi" w:hAnsiTheme="minorBidi"/>
          <w:color w:val="000000" w:themeColor="text1"/>
          <w:sz w:val="20"/>
          <w:szCs w:val="20"/>
          <w:lang w:val="en-US"/>
        </w:rPr>
        <w:t xml:space="preserve"> The different monoclonal antibodies were significantly more efficacious than glucocorticoid/placebo in terms of reduction in CAS (SMD= -1.44, 95% CI -1.91– -0.97, P&lt;0.00001</w:t>
      </w:r>
      <w:r w:rsidRPr="00E76441">
        <w:rPr>
          <w:rFonts w:asciiTheme="minorBidi" w:hAnsiTheme="minorBidi"/>
          <w:color w:val="000000" w:themeColor="text1"/>
          <w:sz w:val="20"/>
          <w:szCs w:val="20"/>
          <w:rtl/>
          <w:lang w:val="en-US"/>
        </w:rPr>
        <w:t>,</w:t>
      </w:r>
      <w:r w:rsidRPr="00E76441">
        <w:rPr>
          <w:rFonts w:asciiTheme="minorBidi" w:hAnsiTheme="minorBidi"/>
          <w:color w:val="000000" w:themeColor="text1"/>
          <w:sz w:val="20"/>
          <w:szCs w:val="20"/>
          <w:lang w:val="en-US"/>
        </w:rPr>
        <w:t xml:space="preserve"> I</w:t>
      </w:r>
      <w:r w:rsidRPr="00E76441">
        <w:rPr>
          <w:rFonts w:asciiTheme="minorBidi" w:hAnsiTheme="minorBidi"/>
          <w:color w:val="000000" w:themeColor="text1"/>
          <w:sz w:val="20"/>
          <w:szCs w:val="20"/>
          <w:vertAlign w:val="superscript"/>
          <w:lang w:val="en-US"/>
        </w:rPr>
        <w:t xml:space="preserve">2 </w:t>
      </w:r>
      <w:r w:rsidRPr="00E76441">
        <w:rPr>
          <w:rFonts w:asciiTheme="minorBidi" w:hAnsiTheme="minorBidi"/>
          <w:color w:val="000000" w:themeColor="text1"/>
          <w:sz w:val="20"/>
          <w:szCs w:val="20"/>
          <w:lang w:val="en-US"/>
        </w:rPr>
        <w:t>= 74%), change in proptosis (SMD=-4.96, 95% CI -8.02– -1.89, P=0.002, I</w:t>
      </w:r>
      <w:r w:rsidRPr="00E76441">
        <w:rPr>
          <w:rFonts w:asciiTheme="minorBidi" w:hAnsiTheme="minorBidi"/>
          <w:color w:val="000000" w:themeColor="text1"/>
          <w:sz w:val="20"/>
          <w:szCs w:val="20"/>
          <w:vertAlign w:val="superscript"/>
          <w:lang w:val="en-US"/>
        </w:rPr>
        <w:t xml:space="preserve">2 </w:t>
      </w:r>
      <w:r w:rsidRPr="00E76441">
        <w:rPr>
          <w:rFonts w:asciiTheme="minorBidi" w:hAnsiTheme="minorBidi"/>
          <w:color w:val="000000" w:themeColor="text1"/>
          <w:sz w:val="20"/>
          <w:szCs w:val="20"/>
          <w:lang w:val="en-US"/>
        </w:rPr>
        <w:t>= 99%), QoL (SMD=2.64, 95% CI 0.50– 4.79, P=0.02, I</w:t>
      </w:r>
      <w:r w:rsidRPr="00E76441">
        <w:rPr>
          <w:rFonts w:asciiTheme="minorBidi" w:hAnsiTheme="minorBidi"/>
          <w:color w:val="000000" w:themeColor="text1"/>
          <w:sz w:val="20"/>
          <w:szCs w:val="20"/>
          <w:vertAlign w:val="superscript"/>
          <w:lang w:val="en-US"/>
        </w:rPr>
        <w:t xml:space="preserve">2 </w:t>
      </w:r>
      <w:r w:rsidRPr="00E76441">
        <w:rPr>
          <w:rFonts w:asciiTheme="minorBidi" w:hAnsiTheme="minorBidi"/>
          <w:color w:val="000000" w:themeColor="text1"/>
          <w:sz w:val="20"/>
          <w:szCs w:val="20"/>
          <w:lang w:val="en-US"/>
        </w:rPr>
        <w:t>= 97%), and Gorman score for diplopia (OR=3.42, 95% CI 1.62– 7.22, P=0.001, I</w:t>
      </w:r>
      <w:r w:rsidRPr="00E76441">
        <w:rPr>
          <w:rFonts w:asciiTheme="minorBidi" w:hAnsiTheme="minorBidi"/>
          <w:color w:val="000000" w:themeColor="text1"/>
          <w:sz w:val="20"/>
          <w:szCs w:val="20"/>
          <w:vertAlign w:val="superscript"/>
          <w:lang w:val="en-US"/>
        </w:rPr>
        <w:t xml:space="preserve">2 </w:t>
      </w:r>
      <w:r w:rsidRPr="00E76441">
        <w:rPr>
          <w:rFonts w:asciiTheme="minorBidi" w:hAnsiTheme="minorBidi"/>
          <w:color w:val="000000" w:themeColor="text1"/>
          <w:sz w:val="20"/>
          <w:szCs w:val="20"/>
          <w:lang w:val="en-US"/>
        </w:rPr>
        <w:t>= 8%). However, monoclonal antibodies have shown higher rates of adverse events (OR=2.91, 95% CI 1.12–7.56; P=0.03, I</w:t>
      </w:r>
      <w:r w:rsidRPr="00E76441">
        <w:rPr>
          <w:rFonts w:asciiTheme="minorBidi" w:hAnsiTheme="minorBidi"/>
          <w:color w:val="000000" w:themeColor="text1"/>
          <w:sz w:val="20"/>
          <w:szCs w:val="20"/>
          <w:vertAlign w:val="superscript"/>
          <w:lang w:val="en-US"/>
        </w:rPr>
        <w:t xml:space="preserve">2 </w:t>
      </w:r>
      <w:r w:rsidRPr="00E76441">
        <w:rPr>
          <w:rFonts w:asciiTheme="minorBidi" w:hAnsiTheme="minorBidi"/>
          <w:color w:val="000000" w:themeColor="text1"/>
          <w:sz w:val="20"/>
          <w:szCs w:val="20"/>
          <w:lang w:val="en-US"/>
        </w:rPr>
        <w:t xml:space="preserve">= 62%). No significant difference was found with respect to lid fissure, NOSPECS, and </w:t>
      </w:r>
      <w:proofErr w:type="spellStart"/>
      <w:r w:rsidRPr="00E76441">
        <w:rPr>
          <w:rFonts w:asciiTheme="minorBidi" w:hAnsiTheme="minorBidi"/>
          <w:color w:val="000000" w:themeColor="text1"/>
          <w:sz w:val="20"/>
          <w:szCs w:val="20"/>
          <w:lang w:val="en-US"/>
        </w:rPr>
        <w:t>TRAb</w:t>
      </w:r>
      <w:proofErr w:type="spellEnd"/>
      <w:r w:rsidRPr="00E76441">
        <w:rPr>
          <w:rFonts w:asciiTheme="minorBidi" w:hAnsiTheme="minorBidi"/>
          <w:color w:val="000000" w:themeColor="text1"/>
          <w:sz w:val="20"/>
          <w:szCs w:val="20"/>
          <w:lang w:val="en-US"/>
        </w:rPr>
        <w:t xml:space="preserve"> levels. </w:t>
      </w:r>
      <w:r w:rsidRPr="00E76441">
        <w:rPr>
          <w:rFonts w:asciiTheme="minorBidi" w:hAnsiTheme="minorBidi"/>
          <w:color w:val="000000" w:themeColor="text1"/>
          <w:sz w:val="20"/>
          <w:szCs w:val="20"/>
        </w:rPr>
        <w:t>T</w:t>
      </w:r>
      <w:r w:rsidRPr="00E76441">
        <w:rPr>
          <w:rFonts w:asciiTheme="minorBidi" w:hAnsiTheme="minorBidi"/>
          <w:color w:val="000000" w:themeColor="text1"/>
          <w:sz w:val="20"/>
          <w:szCs w:val="20"/>
          <w:lang w:val="en-US"/>
        </w:rPr>
        <w:t>his meta-analysis demonstrated that monoclonal antibodies were associated with more favorable clinical outcomes than standard steroid therapy or placebo, especially with regards to CAS, change in proptosis, diplopia and QoL, with teprotumumab being superior</w:t>
      </w:r>
      <w:r w:rsidRPr="00E76441">
        <w:rPr>
          <w:rFonts w:asciiTheme="minorBidi" w:hAnsiTheme="minorBidi"/>
          <w:color w:val="000000" w:themeColor="text1"/>
          <w:sz w:val="20"/>
          <w:szCs w:val="20"/>
          <w:lang w:val="en-US"/>
        </w:rPr>
        <w:t>.</w:t>
      </w:r>
    </w:p>
    <w:p w14:paraId="38D2BAD5" w14:textId="77777777" w:rsidR="00E76441" w:rsidRDefault="00E76441" w:rsidP="00E76441">
      <w:pPr>
        <w:spacing w:line="480" w:lineRule="auto"/>
        <w:rPr>
          <w:rFonts w:asciiTheme="minorBidi" w:hAnsiTheme="minorBidi"/>
          <w:color w:val="000000" w:themeColor="text1"/>
          <w:sz w:val="20"/>
          <w:szCs w:val="20"/>
          <w:lang w:val="en-US"/>
        </w:rPr>
      </w:pPr>
    </w:p>
    <w:p w14:paraId="5BF2F187" w14:textId="77777777" w:rsidR="00E76441" w:rsidRDefault="00E76441" w:rsidP="00E76441">
      <w:pPr>
        <w:spacing w:line="480" w:lineRule="auto"/>
        <w:rPr>
          <w:rFonts w:asciiTheme="minorBidi" w:hAnsiTheme="minorBidi"/>
          <w:color w:val="000000" w:themeColor="text1"/>
          <w:sz w:val="20"/>
          <w:szCs w:val="20"/>
          <w:lang w:val="en-US"/>
        </w:rPr>
      </w:pPr>
    </w:p>
    <w:p w14:paraId="3F88E23A" w14:textId="77777777" w:rsidR="00E76441" w:rsidRDefault="00E76441" w:rsidP="00E76441">
      <w:pPr>
        <w:spacing w:line="480" w:lineRule="auto"/>
        <w:rPr>
          <w:rFonts w:asciiTheme="minorBidi" w:hAnsiTheme="minorBidi"/>
          <w:b/>
          <w:bCs/>
          <w:color w:val="ED7D31" w:themeColor="accent2"/>
          <w:sz w:val="20"/>
          <w:szCs w:val="20"/>
          <w:lang w:val="en-US"/>
        </w:rPr>
      </w:pPr>
    </w:p>
    <w:p w14:paraId="0ACC31D2" w14:textId="1228BA89" w:rsidR="00E76441" w:rsidRPr="00E76441" w:rsidRDefault="00E76441" w:rsidP="00E76441">
      <w:pPr>
        <w:spacing w:line="480" w:lineRule="auto"/>
        <w:rPr>
          <w:rFonts w:asciiTheme="minorBidi" w:hAnsiTheme="minorBidi"/>
          <w:b/>
          <w:bCs/>
          <w:color w:val="ED7D31" w:themeColor="accent2"/>
          <w:sz w:val="20"/>
          <w:szCs w:val="20"/>
          <w:lang w:val="en-US"/>
        </w:rPr>
      </w:pPr>
      <w:r w:rsidRPr="00E76441">
        <w:rPr>
          <w:rFonts w:asciiTheme="minorBidi" w:hAnsiTheme="minorBidi"/>
          <w:b/>
          <w:bCs/>
          <w:color w:val="ED7D31" w:themeColor="accent2"/>
          <w:sz w:val="20"/>
          <w:szCs w:val="20"/>
          <w:lang w:val="en-US"/>
        </w:rPr>
        <w:t>Authors:</w:t>
      </w:r>
    </w:p>
    <w:p w14:paraId="687B71B6" w14:textId="77777777" w:rsidR="00E76441" w:rsidRP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 xml:space="preserve">Wed A </w:t>
      </w:r>
      <w:proofErr w:type="spellStart"/>
      <w:r w:rsidRPr="00E76441">
        <w:rPr>
          <w:rFonts w:asciiTheme="minorBidi" w:hAnsiTheme="minorBidi"/>
          <w:color w:val="000000" w:themeColor="text1"/>
          <w:sz w:val="20"/>
          <w:szCs w:val="20"/>
          <w:lang w:val="en-US"/>
        </w:rPr>
        <w:t>Fatani</w:t>
      </w:r>
      <w:proofErr w:type="spellEnd"/>
      <w:r w:rsidRPr="00E76441">
        <w:rPr>
          <w:rFonts w:asciiTheme="minorBidi" w:hAnsiTheme="minorBidi"/>
          <w:color w:val="000000" w:themeColor="text1"/>
          <w:sz w:val="20"/>
          <w:szCs w:val="20"/>
          <w:lang w:val="en-US"/>
        </w:rPr>
        <w:t>*,</w:t>
      </w:r>
      <w:r w:rsidRPr="00E76441">
        <w:rPr>
          <w:rFonts w:asciiTheme="minorBidi" w:hAnsiTheme="minorBidi"/>
          <w:color w:val="000000" w:themeColor="text1"/>
          <w:sz w:val="20"/>
          <w:szCs w:val="20"/>
          <w:vertAlign w:val="superscript"/>
          <w:lang w:val="en-US"/>
        </w:rPr>
        <w:t>1,2</w:t>
      </w:r>
      <w:r w:rsidRPr="00E76441">
        <w:rPr>
          <w:rFonts w:asciiTheme="minorBidi" w:hAnsiTheme="minorBidi"/>
          <w:color w:val="000000" w:themeColor="text1"/>
          <w:sz w:val="20"/>
          <w:szCs w:val="20"/>
          <w:lang w:val="en-US"/>
        </w:rPr>
        <w:t xml:space="preserve"> Dalia M Hamdan, </w:t>
      </w:r>
      <w:r w:rsidRPr="00E76441">
        <w:rPr>
          <w:rFonts w:asciiTheme="minorBidi" w:hAnsiTheme="minorBidi"/>
          <w:color w:val="000000" w:themeColor="text1"/>
          <w:sz w:val="20"/>
          <w:szCs w:val="20"/>
          <w:vertAlign w:val="superscript"/>
          <w:lang w:val="en-US"/>
        </w:rPr>
        <w:t>1,2</w:t>
      </w:r>
      <w:r w:rsidRPr="00E76441">
        <w:rPr>
          <w:rFonts w:asciiTheme="minorBidi" w:hAnsiTheme="minorBidi"/>
          <w:color w:val="000000" w:themeColor="text1"/>
          <w:sz w:val="20"/>
          <w:szCs w:val="20"/>
          <w:lang w:val="en-US"/>
        </w:rPr>
        <w:t xml:space="preserve"> Nada O Taher, </w:t>
      </w:r>
      <w:r w:rsidRPr="00E76441">
        <w:rPr>
          <w:rFonts w:asciiTheme="minorBidi" w:hAnsiTheme="minorBidi"/>
          <w:color w:val="000000" w:themeColor="text1"/>
          <w:sz w:val="20"/>
          <w:szCs w:val="20"/>
          <w:vertAlign w:val="superscript"/>
          <w:lang w:val="en-US"/>
        </w:rPr>
        <w:t>1,2</w:t>
      </w:r>
      <w:r w:rsidRPr="00E76441">
        <w:rPr>
          <w:rFonts w:asciiTheme="minorBidi" w:hAnsiTheme="minorBidi"/>
          <w:color w:val="000000" w:themeColor="text1"/>
          <w:sz w:val="20"/>
          <w:szCs w:val="20"/>
          <w:lang w:val="en-US"/>
        </w:rPr>
        <w:t xml:space="preserve"> Jawaher F </w:t>
      </w:r>
      <w:proofErr w:type="spellStart"/>
      <w:r w:rsidRPr="00E76441">
        <w:rPr>
          <w:rFonts w:asciiTheme="minorBidi" w:hAnsiTheme="minorBidi"/>
          <w:color w:val="000000" w:themeColor="text1"/>
          <w:sz w:val="20"/>
          <w:szCs w:val="20"/>
          <w:lang w:val="en-US"/>
        </w:rPr>
        <w:t>Alsharef</w:t>
      </w:r>
      <w:proofErr w:type="spellEnd"/>
      <w:r w:rsidRPr="00E76441">
        <w:rPr>
          <w:rFonts w:asciiTheme="minorBidi" w:hAnsiTheme="minorBidi"/>
          <w:color w:val="000000" w:themeColor="text1"/>
          <w:sz w:val="20"/>
          <w:szCs w:val="20"/>
          <w:lang w:val="en-US"/>
        </w:rPr>
        <w:t xml:space="preserve">, </w:t>
      </w:r>
      <w:r w:rsidRPr="00E76441">
        <w:rPr>
          <w:rFonts w:asciiTheme="minorBidi" w:hAnsiTheme="minorBidi"/>
          <w:color w:val="000000" w:themeColor="text1"/>
          <w:sz w:val="20"/>
          <w:szCs w:val="20"/>
          <w:vertAlign w:val="superscript"/>
          <w:lang w:val="en-US"/>
        </w:rPr>
        <w:t>1,2</w:t>
      </w:r>
      <w:r w:rsidRPr="00E76441">
        <w:rPr>
          <w:rFonts w:asciiTheme="minorBidi" w:hAnsiTheme="minorBidi"/>
          <w:color w:val="000000" w:themeColor="text1"/>
          <w:sz w:val="20"/>
          <w:szCs w:val="20"/>
          <w:lang w:val="en-US"/>
        </w:rPr>
        <w:t xml:space="preserve"> </w:t>
      </w:r>
      <w:proofErr w:type="spellStart"/>
      <w:r w:rsidRPr="00E76441">
        <w:rPr>
          <w:rFonts w:asciiTheme="minorBidi" w:hAnsiTheme="minorBidi"/>
          <w:color w:val="000000" w:themeColor="text1"/>
          <w:sz w:val="20"/>
          <w:szCs w:val="20"/>
          <w:lang w:val="en-US"/>
        </w:rPr>
        <w:t>Riyam</w:t>
      </w:r>
      <w:proofErr w:type="spellEnd"/>
      <w:r w:rsidRPr="00E76441">
        <w:rPr>
          <w:rFonts w:asciiTheme="minorBidi" w:hAnsiTheme="minorBidi"/>
          <w:color w:val="000000" w:themeColor="text1"/>
          <w:sz w:val="20"/>
          <w:szCs w:val="20"/>
          <w:lang w:val="en-US"/>
        </w:rPr>
        <w:t xml:space="preserve"> M </w:t>
      </w:r>
      <w:proofErr w:type="spellStart"/>
      <w:r w:rsidRPr="00E76441">
        <w:rPr>
          <w:rFonts w:asciiTheme="minorBidi" w:hAnsiTheme="minorBidi"/>
          <w:color w:val="000000" w:themeColor="text1"/>
          <w:sz w:val="20"/>
          <w:szCs w:val="20"/>
          <w:lang w:val="en-US"/>
        </w:rPr>
        <w:t>Aldubi</w:t>
      </w:r>
      <w:proofErr w:type="spellEnd"/>
      <w:r w:rsidRPr="00E76441">
        <w:rPr>
          <w:rFonts w:asciiTheme="minorBidi" w:hAnsiTheme="minorBidi"/>
          <w:color w:val="000000" w:themeColor="text1"/>
          <w:sz w:val="20"/>
          <w:szCs w:val="20"/>
          <w:lang w:val="en-US"/>
        </w:rPr>
        <w:t xml:space="preserve">, </w:t>
      </w:r>
      <w:r w:rsidRPr="00E76441">
        <w:rPr>
          <w:rFonts w:asciiTheme="minorBidi" w:hAnsiTheme="minorBidi"/>
          <w:color w:val="000000" w:themeColor="text1"/>
          <w:sz w:val="20"/>
          <w:szCs w:val="20"/>
          <w:vertAlign w:val="superscript"/>
          <w:lang w:val="en-US"/>
        </w:rPr>
        <w:t>1,2</w:t>
      </w:r>
      <w:r w:rsidRPr="00E76441">
        <w:rPr>
          <w:rFonts w:asciiTheme="minorBidi" w:hAnsiTheme="minorBidi"/>
          <w:color w:val="000000" w:themeColor="text1"/>
          <w:sz w:val="20"/>
          <w:szCs w:val="20"/>
          <w:lang w:val="en-US"/>
        </w:rPr>
        <w:t xml:space="preserve"> </w:t>
      </w:r>
      <w:proofErr w:type="spellStart"/>
      <w:r w:rsidRPr="00E76441">
        <w:rPr>
          <w:rFonts w:asciiTheme="minorBidi" w:hAnsiTheme="minorBidi"/>
          <w:color w:val="000000" w:themeColor="text1"/>
          <w:sz w:val="20"/>
          <w:szCs w:val="20"/>
          <w:lang w:val="en-US"/>
        </w:rPr>
        <w:t>Alhanouf</w:t>
      </w:r>
      <w:proofErr w:type="spellEnd"/>
      <w:r w:rsidRPr="00E76441">
        <w:rPr>
          <w:rFonts w:asciiTheme="minorBidi" w:hAnsiTheme="minorBidi"/>
          <w:color w:val="000000" w:themeColor="text1"/>
          <w:sz w:val="20"/>
          <w:szCs w:val="20"/>
          <w:lang w:val="en-US"/>
        </w:rPr>
        <w:t xml:space="preserve"> M </w:t>
      </w:r>
      <w:proofErr w:type="spellStart"/>
      <w:r w:rsidRPr="00E76441">
        <w:rPr>
          <w:rFonts w:asciiTheme="minorBidi" w:hAnsiTheme="minorBidi"/>
          <w:color w:val="000000" w:themeColor="text1"/>
          <w:sz w:val="20"/>
          <w:szCs w:val="20"/>
          <w:lang w:val="en-US"/>
        </w:rPr>
        <w:t>Alwagdani</w:t>
      </w:r>
      <w:proofErr w:type="spellEnd"/>
      <w:r w:rsidRPr="00E76441">
        <w:rPr>
          <w:rFonts w:asciiTheme="minorBidi" w:hAnsiTheme="minorBidi"/>
          <w:color w:val="000000" w:themeColor="text1"/>
          <w:sz w:val="20"/>
          <w:szCs w:val="20"/>
          <w:vertAlign w:val="superscript"/>
          <w:lang w:val="en-US"/>
        </w:rPr>
        <w:t>, 1,2</w:t>
      </w:r>
      <w:r w:rsidRPr="00E76441">
        <w:rPr>
          <w:rFonts w:asciiTheme="minorBidi" w:hAnsiTheme="minorBidi"/>
          <w:color w:val="000000" w:themeColor="text1"/>
          <w:sz w:val="20"/>
          <w:szCs w:val="20"/>
          <w:lang w:val="en-US"/>
        </w:rPr>
        <w:t xml:space="preserve"> Taif N Alhothali,</w:t>
      </w:r>
      <w:r w:rsidRPr="00E76441">
        <w:rPr>
          <w:rFonts w:asciiTheme="minorBidi" w:hAnsiTheme="minorBidi"/>
          <w:color w:val="000000" w:themeColor="text1"/>
          <w:sz w:val="20"/>
          <w:szCs w:val="20"/>
          <w:vertAlign w:val="superscript"/>
          <w:lang w:val="en-US"/>
        </w:rPr>
        <w:t xml:space="preserve">3 </w:t>
      </w:r>
      <w:r w:rsidRPr="00E76441">
        <w:rPr>
          <w:rFonts w:asciiTheme="minorBidi" w:hAnsiTheme="minorBidi"/>
          <w:color w:val="000000" w:themeColor="text1"/>
          <w:sz w:val="20"/>
          <w:szCs w:val="20"/>
          <w:lang w:val="en-US"/>
        </w:rPr>
        <w:t xml:space="preserve">Zia </w:t>
      </w:r>
      <w:proofErr w:type="spellStart"/>
      <w:r w:rsidRPr="00E76441">
        <w:rPr>
          <w:rFonts w:asciiTheme="minorBidi" w:hAnsiTheme="minorBidi"/>
          <w:color w:val="000000" w:themeColor="text1"/>
          <w:sz w:val="20"/>
          <w:szCs w:val="20"/>
          <w:lang w:val="en-US"/>
        </w:rPr>
        <w:t>Ul</w:t>
      </w:r>
      <w:proofErr w:type="spellEnd"/>
      <w:r w:rsidRPr="00E76441">
        <w:rPr>
          <w:rFonts w:asciiTheme="minorBidi" w:hAnsiTheme="minorBidi"/>
          <w:color w:val="000000" w:themeColor="text1"/>
          <w:sz w:val="20"/>
          <w:szCs w:val="20"/>
          <w:lang w:val="en-US"/>
        </w:rPr>
        <w:t xml:space="preserve"> </w:t>
      </w:r>
      <w:proofErr w:type="spellStart"/>
      <w:r w:rsidRPr="00E76441">
        <w:rPr>
          <w:rFonts w:asciiTheme="minorBidi" w:hAnsiTheme="minorBidi"/>
          <w:color w:val="000000" w:themeColor="text1"/>
          <w:sz w:val="20"/>
          <w:szCs w:val="20"/>
          <w:lang w:val="en-US"/>
        </w:rPr>
        <w:t>Haq</w:t>
      </w:r>
      <w:proofErr w:type="spellEnd"/>
      <w:r w:rsidRPr="00E76441">
        <w:rPr>
          <w:rFonts w:asciiTheme="minorBidi" w:hAnsiTheme="minorBidi"/>
          <w:color w:val="000000" w:themeColor="text1"/>
          <w:sz w:val="20"/>
          <w:szCs w:val="20"/>
          <w:lang w:val="en-US"/>
        </w:rPr>
        <w:t xml:space="preserve"> Khan, FRCS, FRC </w:t>
      </w:r>
      <w:proofErr w:type="spellStart"/>
      <w:r w:rsidRPr="00E76441">
        <w:rPr>
          <w:rFonts w:asciiTheme="minorBidi" w:hAnsiTheme="minorBidi"/>
          <w:color w:val="000000" w:themeColor="text1"/>
          <w:sz w:val="20"/>
          <w:szCs w:val="20"/>
          <w:lang w:val="en-US"/>
        </w:rPr>
        <w:t>Oph</w:t>
      </w:r>
      <w:proofErr w:type="spellEnd"/>
      <w:r w:rsidRPr="00E76441">
        <w:rPr>
          <w:rFonts w:asciiTheme="minorBidi" w:hAnsiTheme="minorBidi"/>
          <w:color w:val="000000" w:themeColor="text1"/>
          <w:sz w:val="20"/>
          <w:szCs w:val="20"/>
          <w:lang w:val="en-US"/>
        </w:rPr>
        <w:t xml:space="preserve"> </w:t>
      </w:r>
      <w:r w:rsidRPr="00E76441">
        <w:rPr>
          <w:rFonts w:asciiTheme="minorBidi" w:hAnsiTheme="minorBidi"/>
          <w:color w:val="000000" w:themeColor="text1"/>
          <w:sz w:val="20"/>
          <w:szCs w:val="20"/>
          <w:vertAlign w:val="superscript"/>
          <w:lang w:val="en-US"/>
        </w:rPr>
        <w:t>2,4,5</w:t>
      </w:r>
    </w:p>
    <w:p w14:paraId="62C64B13" w14:textId="77777777" w:rsidR="00E76441" w:rsidRP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Affiliations:</w:t>
      </w:r>
    </w:p>
    <w:p w14:paraId="6C3B10AF" w14:textId="77777777" w:rsidR="00E76441" w:rsidRP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 xml:space="preserve">1 College of Medicine, King Saud bin </w:t>
      </w:r>
      <w:proofErr w:type="spellStart"/>
      <w:r w:rsidRPr="00E76441">
        <w:rPr>
          <w:rFonts w:asciiTheme="minorBidi" w:hAnsiTheme="minorBidi"/>
          <w:color w:val="000000" w:themeColor="text1"/>
          <w:sz w:val="20"/>
          <w:szCs w:val="20"/>
          <w:lang w:val="en-US"/>
        </w:rPr>
        <w:t>Abdulaziz</w:t>
      </w:r>
      <w:proofErr w:type="spellEnd"/>
      <w:r w:rsidRPr="00E76441">
        <w:rPr>
          <w:rFonts w:asciiTheme="minorBidi" w:hAnsiTheme="minorBidi"/>
          <w:color w:val="000000" w:themeColor="text1"/>
          <w:sz w:val="20"/>
          <w:szCs w:val="20"/>
          <w:lang w:val="en-US"/>
        </w:rPr>
        <w:t xml:space="preserve"> University for Health Sciences, Jeddah, Saudi Arabia</w:t>
      </w:r>
    </w:p>
    <w:p w14:paraId="30FC0249" w14:textId="77777777" w:rsidR="00E76441" w:rsidRP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2 King Abdullah International Medical Research Center, Jeddah, Saudi Arabia</w:t>
      </w:r>
    </w:p>
    <w:p w14:paraId="4EF075F9" w14:textId="77777777" w:rsidR="00E76441" w:rsidRP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3 College of Medicine, Umm Al-</w:t>
      </w:r>
      <w:proofErr w:type="spellStart"/>
      <w:r w:rsidRPr="00E76441">
        <w:rPr>
          <w:rFonts w:asciiTheme="minorBidi" w:hAnsiTheme="minorBidi"/>
          <w:color w:val="000000" w:themeColor="text1"/>
          <w:sz w:val="20"/>
          <w:szCs w:val="20"/>
          <w:lang w:val="en-US"/>
        </w:rPr>
        <w:t>Qura</w:t>
      </w:r>
      <w:proofErr w:type="spellEnd"/>
      <w:r w:rsidRPr="00E76441">
        <w:rPr>
          <w:rFonts w:asciiTheme="minorBidi" w:hAnsiTheme="minorBidi"/>
          <w:color w:val="000000" w:themeColor="text1"/>
          <w:sz w:val="20"/>
          <w:szCs w:val="20"/>
          <w:lang w:val="en-US"/>
        </w:rPr>
        <w:t xml:space="preserve"> University, Mecca, Saudi Arabia</w:t>
      </w:r>
    </w:p>
    <w:p w14:paraId="79EAA7EC" w14:textId="77777777" w:rsidR="00E76441" w:rsidRP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 xml:space="preserve">4 Department of Ophthalmology, King </w:t>
      </w:r>
      <w:proofErr w:type="spellStart"/>
      <w:r w:rsidRPr="00E76441">
        <w:rPr>
          <w:rFonts w:asciiTheme="minorBidi" w:hAnsiTheme="minorBidi"/>
          <w:color w:val="000000" w:themeColor="text1"/>
          <w:sz w:val="20"/>
          <w:szCs w:val="20"/>
          <w:lang w:val="en-US"/>
        </w:rPr>
        <w:t>Abdulaziz</w:t>
      </w:r>
      <w:proofErr w:type="spellEnd"/>
      <w:r w:rsidRPr="00E76441">
        <w:rPr>
          <w:rFonts w:asciiTheme="minorBidi" w:hAnsiTheme="minorBidi"/>
          <w:color w:val="000000" w:themeColor="text1"/>
          <w:sz w:val="20"/>
          <w:szCs w:val="20"/>
          <w:lang w:val="en-US"/>
        </w:rPr>
        <w:t xml:space="preserve"> Medical City, Jeddah, Saudi Arabia</w:t>
      </w:r>
    </w:p>
    <w:p w14:paraId="27A8BB25" w14:textId="3A38FA1A" w:rsidR="00E76441" w:rsidRPr="00E76441" w:rsidRDefault="00E76441" w:rsidP="00E76441">
      <w:pPr>
        <w:spacing w:line="480" w:lineRule="auto"/>
        <w:rPr>
          <w:rFonts w:asciiTheme="minorBidi" w:hAnsiTheme="minorBidi"/>
          <w:color w:val="000000" w:themeColor="text1"/>
          <w:sz w:val="20"/>
          <w:szCs w:val="20"/>
          <w:lang w:val="en-US"/>
        </w:rPr>
      </w:pPr>
      <w:r w:rsidRPr="00E76441">
        <w:rPr>
          <w:rFonts w:asciiTheme="minorBidi" w:hAnsiTheme="minorBidi"/>
          <w:color w:val="000000" w:themeColor="text1"/>
          <w:sz w:val="20"/>
          <w:szCs w:val="20"/>
          <w:lang w:val="en-US"/>
        </w:rPr>
        <w:t>5 Department of Ophthalmology, Ministry of the National Guard-Health Affairs, Jeddah, Saudi Arabia</w:t>
      </w:r>
    </w:p>
    <w:p w14:paraId="5941E1AA" w14:textId="77777777" w:rsidR="00574A93" w:rsidRPr="00E76441" w:rsidRDefault="00574A93">
      <w:pPr>
        <w:rPr>
          <w:rFonts w:asciiTheme="minorBidi" w:hAnsiTheme="minorBidi"/>
          <w:sz w:val="20"/>
          <w:szCs w:val="20"/>
          <w:lang w:val="en-US"/>
        </w:rPr>
      </w:pPr>
    </w:p>
    <w:sectPr w:rsidR="00574A93" w:rsidRPr="00E764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41"/>
    <w:rsid w:val="00574A93"/>
    <w:rsid w:val="00E76441"/>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40C25D89"/>
  <w15:chartTrackingRefBased/>
  <w15:docId w15:val="{A14C6C6E-13FB-DD4F-BE8D-2AB603952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441"/>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416</Words>
  <Characters>2372</Characters>
  <Application>Microsoft Office Word</Application>
  <DocSecurity>0</DocSecurity>
  <Lines>19</Lines>
  <Paragraphs>5</Paragraphs>
  <ScaleCrop>false</ScaleCrop>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Wed Anas M Fatani</dc:creator>
  <cp:keywords/>
  <dc:description/>
  <cp:lastModifiedBy>Wed Anas M Fatani</cp:lastModifiedBy>
  <cp:revision>1</cp:revision>
  <dcterms:created xsi:type="dcterms:W3CDTF">2023-02-12T19:16:00Z</dcterms:created>
  <dcterms:modified xsi:type="dcterms:W3CDTF">2023-02-12T19:22:00Z</dcterms:modified>
</cp:coreProperties>
</file>