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E3F3B" w14:textId="46C34B6D" w:rsidR="009F6910" w:rsidRPr="00D350A6" w:rsidRDefault="00220B3B" w:rsidP="009F6910">
      <w:pPr>
        <w:autoSpaceDE w:val="0"/>
        <w:autoSpaceDN w:val="0"/>
        <w:adjustRightInd w:val="0"/>
        <w:spacing w:after="0" w:line="240" w:lineRule="auto"/>
        <w:jc w:val="both"/>
        <w:rPr>
          <w:rFonts w:cstheme="minorHAnsi"/>
          <w:b/>
          <w:bCs/>
          <w:color w:val="000000"/>
          <w:sz w:val="24"/>
          <w:szCs w:val="24"/>
        </w:rPr>
      </w:pPr>
      <w:r w:rsidRPr="00D350A6">
        <w:rPr>
          <w:rFonts w:cstheme="minorHAnsi"/>
          <w:b/>
          <w:bCs/>
          <w:color w:val="000000"/>
          <w:sz w:val="24"/>
          <w:szCs w:val="24"/>
        </w:rPr>
        <w:t>Is there a relationship between atherosclerosis indices and mitral regurgitation in patients with mitral annular calcification?</w:t>
      </w:r>
    </w:p>
    <w:p w14:paraId="4D316AEA" w14:textId="77777777" w:rsidR="00D350A6" w:rsidRPr="00D350A6" w:rsidRDefault="00D350A6" w:rsidP="009F6910">
      <w:pPr>
        <w:autoSpaceDE w:val="0"/>
        <w:autoSpaceDN w:val="0"/>
        <w:adjustRightInd w:val="0"/>
        <w:spacing w:after="0" w:line="240" w:lineRule="auto"/>
        <w:jc w:val="both"/>
        <w:rPr>
          <w:rFonts w:cstheme="minorHAnsi"/>
          <w:b/>
          <w:bCs/>
          <w:color w:val="000000"/>
          <w:sz w:val="24"/>
          <w:szCs w:val="24"/>
        </w:rPr>
      </w:pPr>
    </w:p>
    <w:p w14:paraId="19958584" w14:textId="622B5F68" w:rsidR="009F6910" w:rsidRPr="00D350A6" w:rsidRDefault="009F6910" w:rsidP="009F6910">
      <w:pPr>
        <w:autoSpaceDE w:val="0"/>
        <w:autoSpaceDN w:val="0"/>
        <w:adjustRightInd w:val="0"/>
        <w:spacing w:after="0" w:line="240" w:lineRule="auto"/>
        <w:rPr>
          <w:rFonts w:cstheme="minorHAnsi"/>
          <w:color w:val="000000"/>
          <w:sz w:val="24"/>
          <w:szCs w:val="24"/>
        </w:rPr>
      </w:pPr>
      <w:r w:rsidRPr="00D350A6">
        <w:rPr>
          <w:rFonts w:cstheme="minorHAnsi"/>
          <w:color w:val="000000"/>
          <w:sz w:val="24"/>
          <w:szCs w:val="24"/>
          <w:vertAlign w:val="superscript"/>
        </w:rPr>
        <w:t>1</w:t>
      </w:r>
      <w:r w:rsidRPr="00D350A6">
        <w:rPr>
          <w:rFonts w:cstheme="minorHAnsi"/>
          <w:color w:val="000000"/>
          <w:sz w:val="24"/>
          <w:szCs w:val="24"/>
        </w:rPr>
        <w:t>Ferhat Dindaş</w:t>
      </w:r>
    </w:p>
    <w:p w14:paraId="182FDF04" w14:textId="45FD0B92" w:rsidR="009F6910" w:rsidRPr="00D350A6" w:rsidRDefault="009F6910" w:rsidP="009F6910">
      <w:pPr>
        <w:autoSpaceDE w:val="0"/>
        <w:autoSpaceDN w:val="0"/>
        <w:adjustRightInd w:val="0"/>
        <w:spacing w:after="0" w:line="240" w:lineRule="auto"/>
        <w:rPr>
          <w:rFonts w:cstheme="minorHAnsi"/>
          <w:color w:val="000000"/>
          <w:sz w:val="24"/>
          <w:szCs w:val="24"/>
        </w:rPr>
      </w:pPr>
      <w:r w:rsidRPr="00D350A6">
        <w:rPr>
          <w:rFonts w:cstheme="minorHAnsi"/>
          <w:color w:val="000000"/>
          <w:sz w:val="24"/>
          <w:szCs w:val="24"/>
        </w:rPr>
        <w:t xml:space="preserve">1Department of </w:t>
      </w:r>
      <w:r w:rsidR="00215FE2" w:rsidRPr="00D350A6">
        <w:rPr>
          <w:rFonts w:cstheme="minorHAnsi"/>
          <w:color w:val="000000"/>
          <w:sz w:val="24"/>
          <w:szCs w:val="24"/>
        </w:rPr>
        <w:t>C</w:t>
      </w:r>
      <w:r w:rsidRPr="00D350A6">
        <w:rPr>
          <w:rFonts w:cstheme="minorHAnsi"/>
          <w:color w:val="000000"/>
          <w:sz w:val="24"/>
          <w:szCs w:val="24"/>
        </w:rPr>
        <w:t>ardiology</w:t>
      </w:r>
      <w:r w:rsidRPr="00D350A6">
        <w:rPr>
          <w:rFonts w:cstheme="minorHAnsi"/>
          <w:color w:val="000000"/>
          <w:sz w:val="24"/>
          <w:szCs w:val="24"/>
        </w:rPr>
        <w:t xml:space="preserve">, </w:t>
      </w:r>
      <w:r w:rsidRPr="00D350A6">
        <w:rPr>
          <w:rFonts w:cstheme="minorHAnsi"/>
          <w:color w:val="000000"/>
          <w:sz w:val="24"/>
          <w:szCs w:val="24"/>
        </w:rPr>
        <w:t xml:space="preserve">Uşak </w:t>
      </w:r>
      <w:r w:rsidRPr="00D350A6">
        <w:rPr>
          <w:rFonts w:cstheme="minorHAnsi"/>
          <w:color w:val="000000"/>
          <w:sz w:val="24"/>
          <w:szCs w:val="24"/>
        </w:rPr>
        <w:t>University</w:t>
      </w:r>
      <w:r w:rsidR="00215FE2" w:rsidRPr="00D350A6">
        <w:rPr>
          <w:rFonts w:cstheme="minorHAnsi"/>
          <w:color w:val="000000"/>
          <w:sz w:val="24"/>
          <w:szCs w:val="24"/>
        </w:rPr>
        <w:t xml:space="preserve"> of</w:t>
      </w:r>
      <w:r w:rsidRPr="00D350A6">
        <w:rPr>
          <w:rFonts w:cstheme="minorHAnsi"/>
          <w:color w:val="000000"/>
          <w:sz w:val="24"/>
          <w:szCs w:val="24"/>
        </w:rPr>
        <w:t xml:space="preserve"> Medicine Faculty</w:t>
      </w:r>
      <w:r w:rsidRPr="00D350A6">
        <w:rPr>
          <w:rFonts w:cstheme="minorHAnsi"/>
          <w:color w:val="000000"/>
          <w:sz w:val="24"/>
          <w:szCs w:val="24"/>
        </w:rPr>
        <w:t xml:space="preserve">, </w:t>
      </w:r>
      <w:r w:rsidRPr="00D350A6">
        <w:rPr>
          <w:rFonts w:cstheme="minorHAnsi"/>
          <w:color w:val="000000"/>
          <w:sz w:val="24"/>
          <w:szCs w:val="24"/>
        </w:rPr>
        <w:t>Turkey</w:t>
      </w:r>
    </w:p>
    <w:p w14:paraId="3D335CF0" w14:textId="77777777" w:rsidR="009F6910" w:rsidRPr="00D350A6" w:rsidRDefault="009F6910" w:rsidP="009F6910">
      <w:pPr>
        <w:autoSpaceDE w:val="0"/>
        <w:autoSpaceDN w:val="0"/>
        <w:adjustRightInd w:val="0"/>
        <w:spacing w:after="0" w:line="240" w:lineRule="auto"/>
        <w:rPr>
          <w:rFonts w:cstheme="minorHAnsi"/>
          <w:color w:val="000000"/>
          <w:sz w:val="24"/>
          <w:szCs w:val="24"/>
        </w:rPr>
      </w:pPr>
    </w:p>
    <w:p w14:paraId="7F8B498E" w14:textId="2D3EBD7D" w:rsidR="009F6910" w:rsidRPr="00D350A6" w:rsidRDefault="009F6910" w:rsidP="003208B9">
      <w:pPr>
        <w:autoSpaceDE w:val="0"/>
        <w:autoSpaceDN w:val="0"/>
        <w:adjustRightInd w:val="0"/>
        <w:spacing w:after="0" w:line="240" w:lineRule="auto"/>
        <w:jc w:val="both"/>
        <w:rPr>
          <w:rFonts w:cstheme="minorHAnsi"/>
          <w:color w:val="000000"/>
          <w:sz w:val="24"/>
          <w:szCs w:val="24"/>
        </w:rPr>
      </w:pPr>
    </w:p>
    <w:p w14:paraId="3F88A555" w14:textId="78B93F58" w:rsidR="00301E6D" w:rsidRPr="00D350A6" w:rsidRDefault="009F6910" w:rsidP="00301E6D">
      <w:pPr>
        <w:autoSpaceDE w:val="0"/>
        <w:autoSpaceDN w:val="0"/>
        <w:adjustRightInd w:val="0"/>
        <w:spacing w:after="0" w:line="240" w:lineRule="auto"/>
        <w:jc w:val="both"/>
        <w:rPr>
          <w:rFonts w:cstheme="minorHAnsi"/>
          <w:color w:val="000000"/>
          <w:sz w:val="24"/>
          <w:szCs w:val="24"/>
        </w:rPr>
      </w:pPr>
      <w:r w:rsidRPr="00D350A6">
        <w:rPr>
          <w:rFonts w:cstheme="minorHAnsi"/>
          <w:color w:val="000000"/>
          <w:sz w:val="24"/>
          <w:szCs w:val="24"/>
        </w:rPr>
        <w:t xml:space="preserve">The most common accompanying valve disease of </w:t>
      </w:r>
      <w:r w:rsidR="001F0AC9" w:rsidRPr="00D350A6">
        <w:rPr>
          <w:rFonts w:cstheme="minorHAnsi"/>
          <w:color w:val="000000"/>
          <w:sz w:val="24"/>
          <w:szCs w:val="24"/>
        </w:rPr>
        <w:t>mitral annular calcification</w:t>
      </w:r>
      <w:r w:rsidR="001F0AC9" w:rsidRPr="00D350A6">
        <w:rPr>
          <w:rFonts w:cstheme="minorHAnsi"/>
          <w:color w:val="000000"/>
          <w:sz w:val="24"/>
          <w:szCs w:val="24"/>
        </w:rPr>
        <w:t xml:space="preserve"> (</w:t>
      </w:r>
      <w:r w:rsidRPr="00D350A6">
        <w:rPr>
          <w:rFonts w:cstheme="minorHAnsi"/>
          <w:color w:val="000000"/>
          <w:sz w:val="24"/>
          <w:szCs w:val="24"/>
        </w:rPr>
        <w:t>MAC</w:t>
      </w:r>
      <w:r w:rsidR="001F0AC9" w:rsidRPr="00D350A6">
        <w:rPr>
          <w:rFonts w:cstheme="minorHAnsi"/>
          <w:color w:val="000000"/>
          <w:sz w:val="24"/>
          <w:szCs w:val="24"/>
        </w:rPr>
        <w:t>)</w:t>
      </w:r>
      <w:r w:rsidRPr="00D350A6">
        <w:rPr>
          <w:rFonts w:cstheme="minorHAnsi"/>
          <w:color w:val="000000"/>
          <w:sz w:val="24"/>
          <w:szCs w:val="24"/>
        </w:rPr>
        <w:t xml:space="preserve"> is mitral regurgitation</w:t>
      </w:r>
      <w:r w:rsidR="001F0AC9" w:rsidRPr="00D350A6">
        <w:rPr>
          <w:rFonts w:cstheme="minorHAnsi"/>
          <w:color w:val="000000"/>
          <w:sz w:val="24"/>
          <w:szCs w:val="24"/>
        </w:rPr>
        <w:t xml:space="preserve"> (MR)</w:t>
      </w:r>
      <w:r w:rsidRPr="00D350A6">
        <w:rPr>
          <w:rFonts w:cstheme="minorHAnsi"/>
          <w:color w:val="000000"/>
          <w:sz w:val="24"/>
          <w:szCs w:val="24"/>
        </w:rPr>
        <w:t>. The relationship between the presence of mitral regurgitation and MAC burden has been tried to be clarified by many theories. It could not go beyond the presence of mitral valve coaptation defect and atherosclerotic load.</w:t>
      </w:r>
      <w:r w:rsidR="001F0AC9" w:rsidRPr="00D350A6">
        <w:rPr>
          <w:rFonts w:cstheme="minorHAnsi"/>
          <w:color w:val="000000"/>
          <w:sz w:val="24"/>
          <w:szCs w:val="24"/>
        </w:rPr>
        <w:t xml:space="preserve"> </w:t>
      </w:r>
      <w:r w:rsidR="001F0AC9" w:rsidRPr="00D350A6">
        <w:rPr>
          <w:rFonts w:cstheme="minorHAnsi"/>
          <w:color w:val="000000"/>
          <w:sz w:val="24"/>
          <w:szCs w:val="24"/>
        </w:rPr>
        <w:t>The aim of this study is to compare atherosclerotic indices according to MR severity in MAC patients.</w:t>
      </w:r>
      <w:r w:rsidR="00954B7E" w:rsidRPr="00D350A6">
        <w:rPr>
          <w:rFonts w:cstheme="minorHAnsi"/>
          <w:color w:val="000000"/>
          <w:sz w:val="24"/>
          <w:szCs w:val="24"/>
        </w:rPr>
        <w:t xml:space="preserve"> </w:t>
      </w:r>
      <w:r w:rsidR="00954B7E" w:rsidRPr="00D350A6">
        <w:rPr>
          <w:rFonts w:cstheme="minorHAnsi"/>
          <w:color w:val="000000"/>
          <w:sz w:val="24"/>
          <w:szCs w:val="24"/>
        </w:rPr>
        <w:t xml:space="preserve">Our retrospective cross-sectional observational study included 587 consecutive patients who applied to the cardiology clinic and underwent echocardiography between 2008 and 2020. A total of 71 patients who received lipid-lowering therapy within </w:t>
      </w:r>
      <w:r w:rsidR="003208B9" w:rsidRPr="00D350A6">
        <w:rPr>
          <w:rFonts w:cstheme="minorHAnsi"/>
          <w:color w:val="000000"/>
          <w:sz w:val="24"/>
          <w:szCs w:val="24"/>
        </w:rPr>
        <w:t>six</w:t>
      </w:r>
      <w:r w:rsidR="00954B7E" w:rsidRPr="00D350A6">
        <w:rPr>
          <w:rFonts w:cstheme="minorHAnsi"/>
          <w:color w:val="000000"/>
          <w:sz w:val="24"/>
          <w:szCs w:val="24"/>
        </w:rPr>
        <w:t xml:space="preserve"> months without echocardiography and who had an incomplete echocardiography report were excluded from the study.</w:t>
      </w:r>
      <w:r w:rsidR="003208B9" w:rsidRPr="00D350A6">
        <w:rPr>
          <w:rFonts w:cstheme="minorHAnsi"/>
          <w:color w:val="000000"/>
          <w:sz w:val="24"/>
          <w:szCs w:val="24"/>
        </w:rPr>
        <w:t xml:space="preserve"> </w:t>
      </w:r>
      <w:r w:rsidR="003208B9" w:rsidRPr="00D350A6">
        <w:rPr>
          <w:rFonts w:cstheme="minorHAnsi"/>
          <w:color w:val="000000"/>
          <w:sz w:val="24"/>
          <w:szCs w:val="24"/>
        </w:rPr>
        <w:t>The remaining 516 patients were divided into two groups according to the presence of MR. Basic biochemical parameters, echocardiographic parameters, and atherosclerosis-related indices of 360 patients with MR and 156 patients without MR were compared.</w:t>
      </w:r>
      <w:r w:rsidR="00301E6D" w:rsidRPr="00D350A6">
        <w:rPr>
          <w:rFonts w:cstheme="minorHAnsi"/>
          <w:color w:val="000000"/>
          <w:sz w:val="24"/>
          <w:szCs w:val="24"/>
        </w:rPr>
        <w:t xml:space="preserve"> </w:t>
      </w:r>
      <w:r w:rsidR="00301E6D" w:rsidRPr="00D350A6">
        <w:rPr>
          <w:rFonts w:cstheme="minorHAnsi"/>
          <w:color w:val="000000"/>
          <w:sz w:val="24"/>
          <w:szCs w:val="24"/>
        </w:rPr>
        <w:t>The Atherogenic indexes were calculated as follows</w:t>
      </w:r>
      <w:r w:rsidR="008A6049" w:rsidRPr="00D350A6">
        <w:rPr>
          <w:rFonts w:cstheme="minorHAnsi"/>
          <w:color w:val="000000"/>
          <w:sz w:val="24"/>
          <w:szCs w:val="24"/>
        </w:rPr>
        <w:t xml:space="preserve"> (1)</w:t>
      </w:r>
      <w:r w:rsidR="00301E6D" w:rsidRPr="00D350A6">
        <w:rPr>
          <w:rFonts w:cstheme="minorHAnsi"/>
          <w:color w:val="000000"/>
          <w:sz w:val="24"/>
          <w:szCs w:val="24"/>
        </w:rPr>
        <w:t>:</w:t>
      </w:r>
    </w:p>
    <w:p w14:paraId="574D74E6" w14:textId="5C5838D2" w:rsidR="00301E6D" w:rsidRPr="00D350A6" w:rsidRDefault="00301E6D" w:rsidP="00301E6D">
      <w:pPr>
        <w:autoSpaceDE w:val="0"/>
        <w:autoSpaceDN w:val="0"/>
        <w:adjustRightInd w:val="0"/>
        <w:spacing w:after="0" w:line="240" w:lineRule="auto"/>
        <w:jc w:val="both"/>
        <w:rPr>
          <w:rFonts w:cstheme="minorHAnsi"/>
          <w:color w:val="000000"/>
          <w:sz w:val="24"/>
          <w:szCs w:val="24"/>
        </w:rPr>
      </w:pPr>
      <w:r w:rsidRPr="00D350A6">
        <w:rPr>
          <w:rFonts w:cstheme="minorHAnsi"/>
          <w:color w:val="000000"/>
          <w:sz w:val="24"/>
          <w:szCs w:val="24"/>
        </w:rPr>
        <w:t>Atherogenic Index of Plasma (AIP) = log (TG / HDL-c)</w:t>
      </w:r>
    </w:p>
    <w:p w14:paraId="518A8E1F" w14:textId="5A4E2D72" w:rsidR="00301E6D" w:rsidRPr="00D350A6" w:rsidRDefault="00301E6D" w:rsidP="00301E6D">
      <w:pPr>
        <w:autoSpaceDE w:val="0"/>
        <w:autoSpaceDN w:val="0"/>
        <w:adjustRightInd w:val="0"/>
        <w:spacing w:after="0" w:line="240" w:lineRule="auto"/>
        <w:jc w:val="both"/>
        <w:rPr>
          <w:rFonts w:cstheme="minorHAnsi"/>
          <w:color w:val="000000"/>
          <w:sz w:val="24"/>
          <w:szCs w:val="24"/>
        </w:rPr>
      </w:pPr>
      <w:r w:rsidRPr="00D350A6">
        <w:rPr>
          <w:rFonts w:cstheme="minorHAnsi"/>
          <w:color w:val="000000"/>
          <w:sz w:val="24"/>
          <w:szCs w:val="24"/>
        </w:rPr>
        <w:t>Atherogenic Coefficient (AC) = (Total cholesterol – HDL-c) / HDL-c</w:t>
      </w:r>
    </w:p>
    <w:p w14:paraId="1B3B128F" w14:textId="2894E2CD" w:rsidR="00301E6D" w:rsidRPr="00D350A6" w:rsidRDefault="00301E6D" w:rsidP="00301E6D">
      <w:pPr>
        <w:autoSpaceDE w:val="0"/>
        <w:autoSpaceDN w:val="0"/>
        <w:adjustRightInd w:val="0"/>
        <w:spacing w:after="0" w:line="240" w:lineRule="auto"/>
        <w:jc w:val="both"/>
        <w:rPr>
          <w:rFonts w:cstheme="minorHAnsi"/>
          <w:color w:val="000000"/>
          <w:sz w:val="24"/>
          <w:szCs w:val="24"/>
        </w:rPr>
      </w:pPr>
      <w:r w:rsidRPr="00D350A6">
        <w:rPr>
          <w:rFonts w:cstheme="minorHAnsi"/>
          <w:color w:val="000000"/>
          <w:sz w:val="24"/>
          <w:szCs w:val="24"/>
        </w:rPr>
        <w:t>Castelli’s Risk Index (CRI-II) = Total cholesterol / HDL-c</w:t>
      </w:r>
    </w:p>
    <w:p w14:paraId="58DBED67" w14:textId="72CDA125" w:rsidR="00301E6D" w:rsidRPr="00D350A6" w:rsidRDefault="00301E6D" w:rsidP="00301E6D">
      <w:pPr>
        <w:autoSpaceDE w:val="0"/>
        <w:autoSpaceDN w:val="0"/>
        <w:adjustRightInd w:val="0"/>
        <w:spacing w:after="0" w:line="240" w:lineRule="auto"/>
        <w:jc w:val="both"/>
        <w:rPr>
          <w:rFonts w:cstheme="minorHAnsi"/>
          <w:color w:val="000000"/>
          <w:sz w:val="24"/>
          <w:szCs w:val="24"/>
        </w:rPr>
      </w:pPr>
      <w:r w:rsidRPr="00D350A6">
        <w:rPr>
          <w:rFonts w:cstheme="minorHAnsi"/>
          <w:color w:val="000000"/>
          <w:sz w:val="24"/>
          <w:szCs w:val="24"/>
        </w:rPr>
        <w:t>Castelli’s Risk Index (CRI</w:t>
      </w:r>
      <w:r w:rsidRPr="00D350A6">
        <w:rPr>
          <w:rFonts w:cstheme="minorHAnsi"/>
          <w:color w:val="000000"/>
          <w:sz w:val="24"/>
          <w:szCs w:val="24"/>
        </w:rPr>
        <w:t>-II</w:t>
      </w:r>
      <w:r w:rsidRPr="00D350A6">
        <w:rPr>
          <w:rFonts w:cstheme="minorHAnsi"/>
          <w:color w:val="000000"/>
          <w:sz w:val="24"/>
          <w:szCs w:val="24"/>
        </w:rPr>
        <w:t>) = LDL-c / HDL-c</w:t>
      </w:r>
    </w:p>
    <w:p w14:paraId="49E8357B" w14:textId="487F4EDA" w:rsidR="00DB3AE1" w:rsidRPr="00D350A6" w:rsidRDefault="00DB3AE1" w:rsidP="003208B9">
      <w:pPr>
        <w:autoSpaceDE w:val="0"/>
        <w:autoSpaceDN w:val="0"/>
        <w:adjustRightInd w:val="0"/>
        <w:spacing w:after="0" w:line="240" w:lineRule="auto"/>
        <w:jc w:val="both"/>
        <w:rPr>
          <w:rFonts w:cstheme="minorHAnsi"/>
          <w:sz w:val="24"/>
          <w:szCs w:val="24"/>
        </w:rPr>
      </w:pPr>
      <w:r w:rsidRPr="00D350A6">
        <w:rPr>
          <w:rFonts w:cstheme="minorHAnsi"/>
          <w:color w:val="000000"/>
          <w:sz w:val="24"/>
          <w:szCs w:val="24"/>
        </w:rPr>
        <w:t>Among the echocardiographic parameters, the presence of aortic and tricuspid insufficiency, biatrial dilatation, and ventricular hypertrophy were significantly higher in the MR group</w:t>
      </w:r>
      <w:r w:rsidR="00301E6D" w:rsidRPr="00D350A6">
        <w:rPr>
          <w:rFonts w:cstheme="minorHAnsi"/>
          <w:color w:val="000000"/>
          <w:sz w:val="24"/>
          <w:szCs w:val="24"/>
        </w:rPr>
        <w:t xml:space="preserve"> (</w:t>
      </w:r>
      <w:r w:rsidR="00301E6D" w:rsidRPr="00D350A6">
        <w:rPr>
          <w:rFonts w:cstheme="minorHAnsi"/>
          <w:i/>
          <w:iCs/>
          <w:color w:val="000000"/>
          <w:sz w:val="24"/>
          <w:szCs w:val="24"/>
        </w:rPr>
        <w:t>all p values &lt;0.05</w:t>
      </w:r>
      <w:r w:rsidR="00301E6D" w:rsidRPr="00D350A6">
        <w:rPr>
          <w:rFonts w:cstheme="minorHAnsi"/>
          <w:color w:val="000000"/>
          <w:sz w:val="24"/>
          <w:szCs w:val="24"/>
        </w:rPr>
        <w:t>)</w:t>
      </w:r>
      <w:r w:rsidRPr="00D350A6">
        <w:rPr>
          <w:rFonts w:cstheme="minorHAnsi"/>
          <w:color w:val="000000"/>
          <w:sz w:val="24"/>
          <w:szCs w:val="24"/>
        </w:rPr>
        <w:t>. Hemogram and</w:t>
      </w:r>
      <w:r w:rsidR="00301E6D" w:rsidRPr="00D350A6">
        <w:rPr>
          <w:rFonts w:cstheme="minorHAnsi"/>
          <w:color w:val="000000"/>
          <w:sz w:val="24"/>
          <w:szCs w:val="24"/>
        </w:rPr>
        <w:t xml:space="preserve"> </w:t>
      </w:r>
      <w:r w:rsidRPr="00D350A6">
        <w:rPr>
          <w:rFonts w:cstheme="minorHAnsi"/>
          <w:color w:val="000000"/>
          <w:sz w:val="24"/>
          <w:szCs w:val="24"/>
        </w:rPr>
        <w:t>LDL-c, which are basic blood parameters, were significantly lower in the MR group</w:t>
      </w:r>
      <w:r w:rsidR="00301E6D" w:rsidRPr="00D350A6">
        <w:rPr>
          <w:rFonts w:cstheme="minorHAnsi"/>
          <w:color w:val="000000"/>
          <w:sz w:val="24"/>
          <w:szCs w:val="24"/>
        </w:rPr>
        <w:t xml:space="preserve"> </w:t>
      </w:r>
      <w:r w:rsidR="00301E6D" w:rsidRPr="00D350A6">
        <w:rPr>
          <w:rFonts w:cstheme="minorHAnsi"/>
          <w:color w:val="000000"/>
          <w:sz w:val="24"/>
          <w:szCs w:val="24"/>
        </w:rPr>
        <w:t>(</w:t>
      </w:r>
      <w:r w:rsidR="00301E6D" w:rsidRPr="00D350A6">
        <w:rPr>
          <w:rFonts w:cstheme="minorHAnsi"/>
          <w:i/>
          <w:iCs/>
          <w:color w:val="000000"/>
          <w:sz w:val="24"/>
          <w:szCs w:val="24"/>
        </w:rPr>
        <w:t>all p values &lt;0.05</w:t>
      </w:r>
      <w:r w:rsidR="00301E6D" w:rsidRPr="00D350A6">
        <w:rPr>
          <w:rFonts w:cstheme="minorHAnsi"/>
          <w:color w:val="000000"/>
          <w:sz w:val="24"/>
          <w:szCs w:val="24"/>
        </w:rPr>
        <w:t>)</w:t>
      </w:r>
      <w:r w:rsidRPr="00D350A6">
        <w:rPr>
          <w:rFonts w:cstheme="minorHAnsi"/>
          <w:color w:val="000000"/>
          <w:sz w:val="24"/>
          <w:szCs w:val="24"/>
        </w:rPr>
        <w:t xml:space="preserve">. Among the atherosclerosis-related indices, AIP, </w:t>
      </w:r>
      <w:r w:rsidR="00301E6D" w:rsidRPr="00D350A6">
        <w:rPr>
          <w:rFonts w:cstheme="minorHAnsi"/>
          <w:color w:val="000000"/>
          <w:sz w:val="24"/>
          <w:szCs w:val="24"/>
        </w:rPr>
        <w:t xml:space="preserve">AC, </w:t>
      </w:r>
      <w:r w:rsidRPr="00D350A6">
        <w:rPr>
          <w:rFonts w:cstheme="minorHAnsi"/>
          <w:color w:val="000000"/>
          <w:sz w:val="24"/>
          <w:szCs w:val="24"/>
        </w:rPr>
        <w:t>CRI-I</w:t>
      </w:r>
      <w:r w:rsidR="00301E6D" w:rsidRPr="00D350A6">
        <w:rPr>
          <w:rFonts w:cstheme="minorHAnsi"/>
          <w:color w:val="000000"/>
          <w:sz w:val="24"/>
          <w:szCs w:val="24"/>
        </w:rPr>
        <w:t xml:space="preserve"> and</w:t>
      </w:r>
      <w:r w:rsidRPr="00D350A6">
        <w:rPr>
          <w:rFonts w:cstheme="minorHAnsi"/>
          <w:color w:val="000000"/>
          <w:sz w:val="24"/>
          <w:szCs w:val="24"/>
        </w:rPr>
        <w:t xml:space="preserve"> CRI-II, did not differ between the groups</w:t>
      </w:r>
      <w:r w:rsidR="00301E6D" w:rsidRPr="00D350A6">
        <w:rPr>
          <w:rFonts w:cstheme="minorHAnsi"/>
          <w:color w:val="000000"/>
          <w:sz w:val="24"/>
          <w:szCs w:val="24"/>
        </w:rPr>
        <w:t xml:space="preserve"> </w:t>
      </w:r>
      <w:r w:rsidR="00301E6D" w:rsidRPr="00D350A6">
        <w:rPr>
          <w:rFonts w:cstheme="minorHAnsi"/>
          <w:color w:val="000000"/>
          <w:sz w:val="24"/>
          <w:szCs w:val="24"/>
        </w:rPr>
        <w:t>(</w:t>
      </w:r>
      <w:r w:rsidR="00301E6D" w:rsidRPr="00D350A6">
        <w:rPr>
          <w:rFonts w:cstheme="minorHAnsi"/>
          <w:i/>
          <w:iCs/>
          <w:color w:val="000000"/>
          <w:sz w:val="24"/>
          <w:szCs w:val="24"/>
        </w:rPr>
        <w:t xml:space="preserve">all p </w:t>
      </w:r>
      <w:proofErr w:type="gramStart"/>
      <w:r w:rsidR="00301E6D" w:rsidRPr="00D350A6">
        <w:rPr>
          <w:rFonts w:cstheme="minorHAnsi"/>
          <w:i/>
          <w:iCs/>
          <w:color w:val="000000"/>
          <w:sz w:val="24"/>
          <w:szCs w:val="24"/>
        </w:rPr>
        <w:t xml:space="preserve">values </w:t>
      </w:r>
      <w:r w:rsidR="00301E6D" w:rsidRPr="00D350A6">
        <w:rPr>
          <w:rFonts w:cstheme="minorHAnsi"/>
          <w:i/>
          <w:iCs/>
          <w:color w:val="000000"/>
          <w:sz w:val="24"/>
          <w:szCs w:val="24"/>
        </w:rPr>
        <w:t>&gt;</w:t>
      </w:r>
      <w:proofErr w:type="gramEnd"/>
      <w:r w:rsidR="00301E6D" w:rsidRPr="00D350A6">
        <w:rPr>
          <w:rFonts w:cstheme="minorHAnsi"/>
          <w:i/>
          <w:iCs/>
          <w:color w:val="000000"/>
          <w:sz w:val="24"/>
          <w:szCs w:val="24"/>
        </w:rPr>
        <w:t>0.05</w:t>
      </w:r>
      <w:r w:rsidR="00301E6D" w:rsidRPr="00D350A6">
        <w:rPr>
          <w:rFonts w:cstheme="minorHAnsi"/>
          <w:color w:val="000000"/>
          <w:sz w:val="24"/>
          <w:szCs w:val="24"/>
        </w:rPr>
        <w:t>)</w:t>
      </w:r>
      <w:r w:rsidRPr="00D350A6">
        <w:rPr>
          <w:rFonts w:cstheme="minorHAnsi"/>
          <w:color w:val="000000"/>
          <w:sz w:val="24"/>
          <w:szCs w:val="24"/>
        </w:rPr>
        <w:t>.</w:t>
      </w:r>
      <w:r w:rsidRPr="00D350A6">
        <w:rPr>
          <w:rFonts w:cstheme="minorHAnsi"/>
          <w:sz w:val="24"/>
          <w:szCs w:val="24"/>
        </w:rPr>
        <w:t xml:space="preserve"> </w:t>
      </w:r>
      <w:r w:rsidR="000D6CE8" w:rsidRPr="00D350A6">
        <w:rPr>
          <w:rFonts w:cstheme="minorHAnsi"/>
          <w:sz w:val="24"/>
          <w:szCs w:val="24"/>
        </w:rPr>
        <w:t>Although MAC most commonly causes mitral regurgitation, it has a poorly defined pathogenesis</w:t>
      </w:r>
      <w:r w:rsidR="00220B3B" w:rsidRPr="00D350A6">
        <w:rPr>
          <w:rFonts w:cstheme="minorHAnsi"/>
          <w:sz w:val="24"/>
          <w:szCs w:val="24"/>
        </w:rPr>
        <w:t xml:space="preserve"> (2)</w:t>
      </w:r>
      <w:r w:rsidR="000D6CE8" w:rsidRPr="00D350A6">
        <w:rPr>
          <w:rFonts w:cstheme="minorHAnsi"/>
          <w:sz w:val="24"/>
          <w:szCs w:val="24"/>
        </w:rPr>
        <w:t>.</w:t>
      </w:r>
      <w:r w:rsidR="000D6CE8" w:rsidRPr="00D350A6">
        <w:rPr>
          <w:rFonts w:cstheme="minorHAnsi"/>
          <w:sz w:val="24"/>
          <w:szCs w:val="24"/>
        </w:rPr>
        <w:t xml:space="preserve"> </w:t>
      </w:r>
      <w:r w:rsidR="000D6CE8" w:rsidRPr="00D350A6">
        <w:rPr>
          <w:rFonts w:cstheme="minorHAnsi"/>
          <w:sz w:val="24"/>
          <w:szCs w:val="24"/>
        </w:rPr>
        <w:t>It has been tried to explain that the sphincter effect caused by MAC and the traction that occurs in the chordae leads to MR</w:t>
      </w:r>
      <w:r w:rsidR="00220B3B" w:rsidRPr="00D350A6">
        <w:rPr>
          <w:rFonts w:cstheme="minorHAnsi"/>
          <w:sz w:val="24"/>
          <w:szCs w:val="24"/>
        </w:rPr>
        <w:t xml:space="preserve"> (2)</w:t>
      </w:r>
      <w:r w:rsidR="000D6CE8" w:rsidRPr="00D350A6">
        <w:rPr>
          <w:rFonts w:cstheme="minorHAnsi"/>
          <w:sz w:val="24"/>
          <w:szCs w:val="24"/>
        </w:rPr>
        <w:t xml:space="preserve">. </w:t>
      </w:r>
      <w:r w:rsidR="00220B3B" w:rsidRPr="00D350A6">
        <w:rPr>
          <w:rFonts w:cstheme="minorHAnsi"/>
          <w:sz w:val="24"/>
          <w:szCs w:val="24"/>
        </w:rPr>
        <w:t>Even if the underlying lipid accumulation indicates an atherosclerotic process, the presence of macrocalcification and bony formations in the biopsies taken away from the ordinary atherosclerotic process</w:t>
      </w:r>
      <w:r w:rsidR="00220B3B" w:rsidRPr="00D350A6">
        <w:rPr>
          <w:rFonts w:cstheme="minorHAnsi"/>
          <w:sz w:val="24"/>
          <w:szCs w:val="24"/>
        </w:rPr>
        <w:t xml:space="preserve"> (3).</w:t>
      </w:r>
    </w:p>
    <w:p w14:paraId="1BC609AC" w14:textId="77777777" w:rsidR="00DB3AE1" w:rsidRPr="00D350A6" w:rsidRDefault="00DB3AE1" w:rsidP="003208B9">
      <w:pPr>
        <w:autoSpaceDE w:val="0"/>
        <w:autoSpaceDN w:val="0"/>
        <w:adjustRightInd w:val="0"/>
        <w:spacing w:after="0" w:line="240" w:lineRule="auto"/>
        <w:jc w:val="both"/>
        <w:rPr>
          <w:rFonts w:cstheme="minorHAnsi"/>
          <w:sz w:val="24"/>
          <w:szCs w:val="24"/>
        </w:rPr>
      </w:pPr>
    </w:p>
    <w:p w14:paraId="11142ED9" w14:textId="6C588A7F" w:rsidR="001F0AC9" w:rsidRPr="00D350A6" w:rsidRDefault="00DB3AE1" w:rsidP="003208B9">
      <w:pPr>
        <w:autoSpaceDE w:val="0"/>
        <w:autoSpaceDN w:val="0"/>
        <w:adjustRightInd w:val="0"/>
        <w:spacing w:after="0" w:line="240" w:lineRule="auto"/>
        <w:jc w:val="both"/>
        <w:rPr>
          <w:rFonts w:cstheme="minorHAnsi"/>
          <w:color w:val="000000"/>
          <w:sz w:val="24"/>
          <w:szCs w:val="24"/>
        </w:rPr>
      </w:pPr>
      <w:r w:rsidRPr="00D350A6">
        <w:rPr>
          <w:rFonts w:cstheme="minorHAnsi"/>
          <w:color w:val="000000"/>
          <w:sz w:val="24"/>
          <w:szCs w:val="24"/>
        </w:rPr>
        <w:t>In conclusion, the pathogenesis of MR in MAC patients does not seem to be related only to atherosclerosis, but the management of MAC patients may be facilitated by adding additional theories in future studies.</w:t>
      </w:r>
    </w:p>
    <w:p w14:paraId="1FAD631B" w14:textId="59BFB8D5" w:rsidR="00DB3AE1" w:rsidRPr="00D350A6" w:rsidRDefault="00DB3AE1" w:rsidP="003208B9">
      <w:pPr>
        <w:autoSpaceDE w:val="0"/>
        <w:autoSpaceDN w:val="0"/>
        <w:adjustRightInd w:val="0"/>
        <w:spacing w:after="0" w:line="240" w:lineRule="auto"/>
        <w:jc w:val="both"/>
        <w:rPr>
          <w:rFonts w:cstheme="minorHAnsi"/>
          <w:color w:val="000000"/>
          <w:sz w:val="24"/>
          <w:szCs w:val="24"/>
        </w:rPr>
      </w:pPr>
    </w:p>
    <w:p w14:paraId="2B229BCC" w14:textId="77777777" w:rsidR="00DB3AE1" w:rsidRPr="00D350A6" w:rsidRDefault="00DB3AE1" w:rsidP="003208B9">
      <w:pPr>
        <w:autoSpaceDE w:val="0"/>
        <w:autoSpaceDN w:val="0"/>
        <w:adjustRightInd w:val="0"/>
        <w:spacing w:after="0" w:line="240" w:lineRule="auto"/>
        <w:jc w:val="both"/>
        <w:rPr>
          <w:rFonts w:cstheme="minorHAnsi"/>
          <w:color w:val="000000"/>
          <w:sz w:val="24"/>
          <w:szCs w:val="24"/>
        </w:rPr>
      </w:pPr>
    </w:p>
    <w:p w14:paraId="76C66BFB" w14:textId="352965E9" w:rsidR="00DB3AE1" w:rsidRPr="00D350A6" w:rsidRDefault="00DB3AE1" w:rsidP="003208B9">
      <w:pPr>
        <w:autoSpaceDE w:val="0"/>
        <w:autoSpaceDN w:val="0"/>
        <w:adjustRightInd w:val="0"/>
        <w:spacing w:after="0" w:line="240" w:lineRule="auto"/>
        <w:jc w:val="both"/>
        <w:rPr>
          <w:rFonts w:cstheme="minorHAnsi"/>
          <w:color w:val="000000"/>
          <w:sz w:val="24"/>
          <w:szCs w:val="24"/>
        </w:rPr>
      </w:pPr>
    </w:p>
    <w:p w14:paraId="712D0A7F" w14:textId="684AD87E" w:rsidR="009F6910" w:rsidRPr="00D350A6" w:rsidRDefault="009F6910" w:rsidP="009F6910">
      <w:pPr>
        <w:autoSpaceDE w:val="0"/>
        <w:autoSpaceDN w:val="0"/>
        <w:adjustRightInd w:val="0"/>
        <w:spacing w:after="0" w:line="240" w:lineRule="auto"/>
        <w:rPr>
          <w:rFonts w:cstheme="minorHAnsi"/>
          <w:b/>
          <w:bCs/>
          <w:color w:val="000000"/>
          <w:sz w:val="24"/>
          <w:szCs w:val="24"/>
        </w:rPr>
      </w:pPr>
      <w:r w:rsidRPr="00D350A6">
        <w:rPr>
          <w:rFonts w:cstheme="minorHAnsi"/>
          <w:b/>
          <w:bCs/>
          <w:color w:val="000000"/>
          <w:sz w:val="24"/>
          <w:szCs w:val="24"/>
        </w:rPr>
        <w:t xml:space="preserve">Biography </w:t>
      </w:r>
    </w:p>
    <w:p w14:paraId="3C050754" w14:textId="117EEE91" w:rsidR="009F6910" w:rsidRPr="00D350A6" w:rsidRDefault="00215FE2" w:rsidP="009F6910">
      <w:pPr>
        <w:autoSpaceDE w:val="0"/>
        <w:autoSpaceDN w:val="0"/>
        <w:adjustRightInd w:val="0"/>
        <w:spacing w:after="0" w:line="240" w:lineRule="auto"/>
        <w:rPr>
          <w:rFonts w:cstheme="minorHAnsi"/>
          <w:color w:val="000000"/>
          <w:sz w:val="24"/>
          <w:szCs w:val="24"/>
        </w:rPr>
      </w:pPr>
      <w:r w:rsidRPr="00D350A6">
        <w:rPr>
          <w:rFonts w:cstheme="minorHAnsi"/>
          <w:color w:val="000000"/>
          <w:sz w:val="24"/>
          <w:szCs w:val="24"/>
        </w:rPr>
        <w:t>Ferhat Dindaş</w:t>
      </w:r>
      <w:r w:rsidR="009F6910" w:rsidRPr="00D350A6">
        <w:rPr>
          <w:rFonts w:cstheme="minorHAnsi"/>
          <w:color w:val="000000"/>
          <w:sz w:val="24"/>
          <w:szCs w:val="24"/>
        </w:rPr>
        <w:t xml:space="preserve">, MD, PhD is </w:t>
      </w:r>
      <w:r w:rsidRPr="00D350A6">
        <w:rPr>
          <w:rFonts w:cstheme="minorHAnsi"/>
          <w:color w:val="000000"/>
          <w:sz w:val="24"/>
          <w:szCs w:val="24"/>
        </w:rPr>
        <w:t xml:space="preserve">an </w:t>
      </w:r>
      <w:r w:rsidRPr="00D350A6">
        <w:rPr>
          <w:rFonts w:cstheme="minorHAnsi"/>
          <w:color w:val="000000"/>
          <w:sz w:val="24"/>
          <w:szCs w:val="24"/>
        </w:rPr>
        <w:t>interventional</w:t>
      </w:r>
      <w:r w:rsidR="009F6910" w:rsidRPr="00D350A6">
        <w:rPr>
          <w:rFonts w:cstheme="minorHAnsi"/>
          <w:color w:val="000000"/>
          <w:sz w:val="24"/>
          <w:szCs w:val="24"/>
        </w:rPr>
        <w:t xml:space="preserve"> </w:t>
      </w:r>
      <w:r w:rsidRPr="00D350A6">
        <w:rPr>
          <w:rFonts w:cstheme="minorHAnsi"/>
          <w:color w:val="000000"/>
          <w:sz w:val="24"/>
          <w:szCs w:val="24"/>
        </w:rPr>
        <w:t>cardiologist</w:t>
      </w:r>
      <w:r w:rsidR="009F6910" w:rsidRPr="00D350A6">
        <w:rPr>
          <w:rFonts w:cstheme="minorHAnsi"/>
          <w:color w:val="000000"/>
          <w:sz w:val="24"/>
          <w:szCs w:val="24"/>
        </w:rPr>
        <w:t xml:space="preserve"> and assistant professor at </w:t>
      </w:r>
      <w:r w:rsidRPr="00D350A6">
        <w:rPr>
          <w:rFonts w:cstheme="minorHAnsi"/>
          <w:color w:val="000000"/>
          <w:sz w:val="24"/>
          <w:szCs w:val="24"/>
        </w:rPr>
        <w:t>Uşak Training and Research Hospital</w:t>
      </w:r>
      <w:r w:rsidR="009F6910" w:rsidRPr="00D350A6">
        <w:rPr>
          <w:rFonts w:cstheme="minorHAnsi"/>
          <w:color w:val="000000"/>
          <w:sz w:val="24"/>
          <w:szCs w:val="24"/>
        </w:rPr>
        <w:t xml:space="preserve">. </w:t>
      </w:r>
      <w:r w:rsidRPr="00D350A6">
        <w:rPr>
          <w:rFonts w:cstheme="minorHAnsi"/>
          <w:color w:val="000000"/>
          <w:sz w:val="24"/>
          <w:szCs w:val="24"/>
        </w:rPr>
        <w:t xml:space="preserve">He has </w:t>
      </w:r>
      <w:r w:rsidRPr="00D350A6">
        <w:rPr>
          <w:rFonts w:cstheme="minorHAnsi"/>
          <w:color w:val="000000"/>
          <w:sz w:val="24"/>
          <w:szCs w:val="24"/>
        </w:rPr>
        <w:t>experience in the field of percutaneous intracranial thrombectomy in the management of stroke patients with carotid artery atherosclerosis.</w:t>
      </w:r>
      <w:r w:rsidRPr="00D350A6">
        <w:rPr>
          <w:rFonts w:cstheme="minorHAnsi"/>
          <w:color w:val="000000"/>
          <w:sz w:val="24"/>
          <w:szCs w:val="24"/>
        </w:rPr>
        <w:t xml:space="preserve">  P</w:t>
      </w:r>
      <w:r w:rsidRPr="00D350A6">
        <w:rPr>
          <w:rFonts w:cstheme="minorHAnsi"/>
          <w:color w:val="000000"/>
          <w:sz w:val="24"/>
          <w:szCs w:val="24"/>
        </w:rPr>
        <w:t>ercutaneous valve implantation is the area where he wants to improve himsel</w:t>
      </w:r>
      <w:r w:rsidRPr="00D350A6">
        <w:rPr>
          <w:rFonts w:cstheme="minorHAnsi"/>
          <w:color w:val="000000"/>
          <w:sz w:val="24"/>
          <w:szCs w:val="24"/>
        </w:rPr>
        <w:t xml:space="preserve">f. </w:t>
      </w:r>
    </w:p>
    <w:p w14:paraId="4418E934" w14:textId="77777777" w:rsidR="00215FE2" w:rsidRPr="00D350A6" w:rsidRDefault="00215FE2" w:rsidP="009F6910">
      <w:pPr>
        <w:autoSpaceDE w:val="0"/>
        <w:autoSpaceDN w:val="0"/>
        <w:adjustRightInd w:val="0"/>
        <w:spacing w:after="0" w:line="240" w:lineRule="auto"/>
        <w:rPr>
          <w:rFonts w:cstheme="minorHAnsi"/>
          <w:color w:val="000000"/>
          <w:sz w:val="24"/>
          <w:szCs w:val="24"/>
        </w:rPr>
      </w:pPr>
    </w:p>
    <w:p w14:paraId="27F6E7BA" w14:textId="49E36BFC" w:rsidR="009F6910" w:rsidRPr="00D350A6" w:rsidRDefault="009F6910" w:rsidP="009F6910">
      <w:pPr>
        <w:autoSpaceDE w:val="0"/>
        <w:autoSpaceDN w:val="0"/>
        <w:adjustRightInd w:val="0"/>
        <w:spacing w:after="0" w:line="240" w:lineRule="auto"/>
        <w:rPr>
          <w:rFonts w:cstheme="minorHAnsi"/>
          <w:b/>
          <w:bCs/>
          <w:color w:val="000000"/>
          <w:sz w:val="24"/>
          <w:szCs w:val="24"/>
        </w:rPr>
      </w:pPr>
      <w:r w:rsidRPr="00D350A6">
        <w:rPr>
          <w:rFonts w:cstheme="minorHAnsi"/>
          <w:b/>
          <w:bCs/>
          <w:color w:val="000000"/>
          <w:sz w:val="24"/>
          <w:szCs w:val="24"/>
        </w:rPr>
        <w:lastRenderedPageBreak/>
        <w:t>References</w:t>
      </w:r>
    </w:p>
    <w:p w14:paraId="34B287ED" w14:textId="77777777" w:rsidR="008A6049" w:rsidRPr="00D350A6" w:rsidRDefault="008A6049" w:rsidP="009F6910">
      <w:pPr>
        <w:autoSpaceDE w:val="0"/>
        <w:autoSpaceDN w:val="0"/>
        <w:adjustRightInd w:val="0"/>
        <w:spacing w:after="0" w:line="240" w:lineRule="auto"/>
        <w:rPr>
          <w:rFonts w:cstheme="minorHAnsi"/>
          <w:b/>
          <w:bCs/>
          <w:color w:val="000000"/>
          <w:sz w:val="24"/>
          <w:szCs w:val="24"/>
        </w:rPr>
      </w:pPr>
    </w:p>
    <w:p w14:paraId="3689D1FA" w14:textId="49DF9F10" w:rsidR="008A6049" w:rsidRPr="00D350A6" w:rsidRDefault="009F6910" w:rsidP="008A6049">
      <w:pPr>
        <w:autoSpaceDE w:val="0"/>
        <w:autoSpaceDN w:val="0"/>
        <w:adjustRightInd w:val="0"/>
        <w:spacing w:after="0" w:line="240" w:lineRule="auto"/>
        <w:rPr>
          <w:rFonts w:cstheme="minorHAnsi"/>
          <w:color w:val="212121"/>
          <w:sz w:val="24"/>
          <w:szCs w:val="24"/>
          <w:shd w:val="clear" w:color="auto" w:fill="FFFFFF"/>
        </w:rPr>
      </w:pPr>
      <w:r w:rsidRPr="00D350A6">
        <w:rPr>
          <w:rFonts w:cstheme="minorHAnsi"/>
          <w:color w:val="000000"/>
          <w:sz w:val="24"/>
          <w:szCs w:val="24"/>
        </w:rPr>
        <w:t xml:space="preserve">1. </w:t>
      </w:r>
      <w:r w:rsidR="008A6049" w:rsidRPr="00D350A6">
        <w:rPr>
          <w:rFonts w:cstheme="minorHAnsi"/>
          <w:color w:val="212121"/>
          <w:sz w:val="24"/>
          <w:szCs w:val="24"/>
          <w:shd w:val="clear" w:color="auto" w:fill="FFFFFF"/>
        </w:rPr>
        <w:t>Gómez-Álvarez, E., Verdejo, J., Ocampo, S., Ponte-Negretti, C. I., Ruíz, E., Ríos, M. M., &amp; SORS investigators (2020</w:t>
      </w:r>
      <w:r w:rsidR="008A6049" w:rsidRPr="00D350A6">
        <w:rPr>
          <w:rFonts w:cstheme="minorHAnsi"/>
          <w:color w:val="212121"/>
          <w:sz w:val="24"/>
          <w:szCs w:val="24"/>
          <w:shd w:val="clear" w:color="auto" w:fill="FFFFFF"/>
        </w:rPr>
        <w:t>, June 3</w:t>
      </w:r>
      <w:r w:rsidR="008A6049" w:rsidRPr="00D350A6">
        <w:rPr>
          <w:rFonts w:cstheme="minorHAnsi"/>
          <w:color w:val="212121"/>
          <w:sz w:val="24"/>
          <w:szCs w:val="24"/>
          <w:shd w:val="clear" w:color="auto" w:fill="FFFFFF"/>
        </w:rPr>
        <w:t>). The CNIC-polypill improves atherogenic dyslipidemia markers in patients at high risk or with cardiovascular disease: Results from a real-world setting in Mexico. </w:t>
      </w:r>
    </w:p>
    <w:p w14:paraId="22E5F923" w14:textId="77777777" w:rsidR="008A6049" w:rsidRPr="00D350A6" w:rsidRDefault="008A6049" w:rsidP="008A6049">
      <w:pPr>
        <w:autoSpaceDE w:val="0"/>
        <w:autoSpaceDN w:val="0"/>
        <w:adjustRightInd w:val="0"/>
        <w:spacing w:after="0" w:line="240" w:lineRule="auto"/>
        <w:rPr>
          <w:rFonts w:cstheme="minorHAnsi"/>
          <w:color w:val="212121"/>
          <w:sz w:val="24"/>
          <w:szCs w:val="24"/>
          <w:shd w:val="clear" w:color="auto" w:fill="FFFFFF"/>
        </w:rPr>
      </w:pPr>
    </w:p>
    <w:p w14:paraId="4AB3E20F" w14:textId="3F96B9B1" w:rsidR="00220B3B" w:rsidRPr="00D350A6" w:rsidRDefault="009F6910" w:rsidP="00220B3B">
      <w:pPr>
        <w:autoSpaceDE w:val="0"/>
        <w:autoSpaceDN w:val="0"/>
        <w:adjustRightInd w:val="0"/>
        <w:spacing w:after="0" w:line="240" w:lineRule="auto"/>
        <w:rPr>
          <w:rFonts w:cstheme="minorHAnsi"/>
          <w:color w:val="212121"/>
          <w:sz w:val="24"/>
          <w:szCs w:val="24"/>
          <w:shd w:val="clear" w:color="auto" w:fill="FFFFFF"/>
        </w:rPr>
      </w:pPr>
      <w:r w:rsidRPr="00D350A6">
        <w:rPr>
          <w:rFonts w:cstheme="minorHAnsi"/>
          <w:color w:val="000000"/>
          <w:sz w:val="24"/>
          <w:szCs w:val="24"/>
        </w:rPr>
        <w:t xml:space="preserve">2. </w:t>
      </w:r>
      <w:r w:rsidR="00220B3B" w:rsidRPr="00D350A6">
        <w:rPr>
          <w:rFonts w:cstheme="minorHAnsi"/>
          <w:color w:val="212121"/>
          <w:sz w:val="24"/>
          <w:szCs w:val="24"/>
          <w:shd w:val="clear" w:color="auto" w:fill="FFFFFF"/>
        </w:rPr>
        <w:t>Payvandi, L. A., &amp; Rigolin, V. H. (2013</w:t>
      </w:r>
      <w:r w:rsidR="00220B3B" w:rsidRPr="00D350A6">
        <w:rPr>
          <w:rFonts w:cstheme="minorHAnsi"/>
          <w:color w:val="212121"/>
          <w:sz w:val="24"/>
          <w:szCs w:val="24"/>
          <w:shd w:val="clear" w:color="auto" w:fill="FFFFFF"/>
        </w:rPr>
        <w:t>, April 24</w:t>
      </w:r>
      <w:r w:rsidR="00220B3B" w:rsidRPr="00D350A6">
        <w:rPr>
          <w:rFonts w:cstheme="minorHAnsi"/>
          <w:color w:val="212121"/>
          <w:sz w:val="24"/>
          <w:szCs w:val="24"/>
          <w:shd w:val="clear" w:color="auto" w:fill="FFFFFF"/>
        </w:rPr>
        <w:t>). Calcific mitral stenosis.</w:t>
      </w:r>
    </w:p>
    <w:p w14:paraId="3EEAC05E" w14:textId="77777777" w:rsidR="00220B3B" w:rsidRPr="00D350A6" w:rsidRDefault="00220B3B" w:rsidP="00220B3B">
      <w:pPr>
        <w:autoSpaceDE w:val="0"/>
        <w:autoSpaceDN w:val="0"/>
        <w:adjustRightInd w:val="0"/>
        <w:spacing w:after="0" w:line="240" w:lineRule="auto"/>
        <w:rPr>
          <w:rFonts w:cstheme="minorHAnsi"/>
          <w:color w:val="212121"/>
          <w:sz w:val="24"/>
          <w:szCs w:val="24"/>
          <w:shd w:val="clear" w:color="auto" w:fill="FFFFFF"/>
        </w:rPr>
      </w:pPr>
    </w:p>
    <w:p w14:paraId="4A0BDE14" w14:textId="52704AB3" w:rsidR="00220B3B" w:rsidRPr="00D350A6" w:rsidRDefault="009F6910" w:rsidP="00220B3B">
      <w:pPr>
        <w:autoSpaceDE w:val="0"/>
        <w:autoSpaceDN w:val="0"/>
        <w:adjustRightInd w:val="0"/>
        <w:spacing w:after="0" w:line="240" w:lineRule="auto"/>
        <w:rPr>
          <w:rFonts w:cstheme="minorHAnsi"/>
          <w:sz w:val="24"/>
          <w:szCs w:val="24"/>
        </w:rPr>
      </w:pPr>
      <w:r w:rsidRPr="00D350A6">
        <w:rPr>
          <w:rFonts w:cstheme="minorHAnsi"/>
          <w:color w:val="000000"/>
          <w:sz w:val="24"/>
          <w:szCs w:val="24"/>
        </w:rPr>
        <w:t xml:space="preserve">3. </w:t>
      </w:r>
      <w:r w:rsidR="00220B3B" w:rsidRPr="00D350A6">
        <w:rPr>
          <w:rFonts w:cstheme="minorHAnsi"/>
          <w:color w:val="212121"/>
          <w:sz w:val="24"/>
          <w:szCs w:val="24"/>
          <w:shd w:val="clear" w:color="auto" w:fill="FFFFFF"/>
        </w:rPr>
        <w:t>Mohler, E. R., 3rd, Gannon, F., Reynolds, C., Zimmerman, R., Keane, M. G., &amp; Kaplan, F. S. (2001</w:t>
      </w:r>
      <w:r w:rsidR="00220B3B" w:rsidRPr="00D350A6">
        <w:rPr>
          <w:rFonts w:cstheme="minorHAnsi"/>
          <w:color w:val="212121"/>
          <w:sz w:val="24"/>
          <w:szCs w:val="24"/>
          <w:shd w:val="clear" w:color="auto" w:fill="FFFFFF"/>
        </w:rPr>
        <w:t>, 20 March</w:t>
      </w:r>
      <w:r w:rsidR="00220B3B" w:rsidRPr="00D350A6">
        <w:rPr>
          <w:rFonts w:cstheme="minorHAnsi"/>
          <w:color w:val="212121"/>
          <w:sz w:val="24"/>
          <w:szCs w:val="24"/>
          <w:shd w:val="clear" w:color="auto" w:fill="FFFFFF"/>
        </w:rPr>
        <w:t>). Bone formation and inflammation in cardiac valves.</w:t>
      </w:r>
    </w:p>
    <w:p w14:paraId="7F6BAF1A" w14:textId="145E98AA" w:rsidR="00AA7CEF" w:rsidRPr="00D350A6" w:rsidRDefault="00AA7CEF" w:rsidP="009F6910">
      <w:pPr>
        <w:rPr>
          <w:rFonts w:cstheme="minorHAnsi"/>
          <w:sz w:val="24"/>
          <w:szCs w:val="24"/>
        </w:rPr>
      </w:pPr>
    </w:p>
    <w:sectPr w:rsidR="00AA7CEF" w:rsidRPr="00D350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42"/>
    <w:rsid w:val="000D6CE8"/>
    <w:rsid w:val="001F0AC9"/>
    <w:rsid w:val="00215FE2"/>
    <w:rsid w:val="00220B3B"/>
    <w:rsid w:val="00280E42"/>
    <w:rsid w:val="00301E6D"/>
    <w:rsid w:val="003208B9"/>
    <w:rsid w:val="008A6049"/>
    <w:rsid w:val="00954B7E"/>
    <w:rsid w:val="009F6910"/>
    <w:rsid w:val="00AA7CEF"/>
    <w:rsid w:val="00BB0537"/>
    <w:rsid w:val="00D350A6"/>
    <w:rsid w:val="00DB3AE1"/>
    <w:rsid w:val="00FB31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67AE"/>
  <w15:chartTrackingRefBased/>
  <w15:docId w15:val="{EDFBB536-0D2E-4925-A4AE-D313E1E0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A6049"/>
    <w:rPr>
      <w:color w:val="0563C1" w:themeColor="hyperlink"/>
      <w:u w:val="single"/>
    </w:rPr>
  </w:style>
  <w:style w:type="character" w:styleId="zmlenmeyenBahsetme">
    <w:name w:val="Unresolved Mention"/>
    <w:basedOn w:val="VarsaylanParagrafYazTipi"/>
    <w:uiPriority w:val="99"/>
    <w:semiHidden/>
    <w:unhideWhenUsed/>
    <w:rsid w:val="008A6049"/>
    <w:rPr>
      <w:color w:val="605E5C"/>
      <w:shd w:val="clear" w:color="auto" w:fill="E1DFDD"/>
    </w:rPr>
  </w:style>
  <w:style w:type="paragraph" w:styleId="ListeParagraf">
    <w:name w:val="List Paragraph"/>
    <w:basedOn w:val="Normal"/>
    <w:uiPriority w:val="34"/>
    <w:qFormat/>
    <w:rsid w:val="008A60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531</Words>
  <Characters>3028</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Win10</cp:lastModifiedBy>
  <cp:revision>5</cp:revision>
  <dcterms:created xsi:type="dcterms:W3CDTF">2022-09-14T18:05:00Z</dcterms:created>
  <dcterms:modified xsi:type="dcterms:W3CDTF">2022-09-14T20:54:00Z</dcterms:modified>
</cp:coreProperties>
</file>