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DFFD8" w14:textId="77777777" w:rsidR="00EE717B" w:rsidRPr="00EE717B" w:rsidRDefault="00EE717B" w:rsidP="00EE717B">
      <w:pPr>
        <w:spacing w:line="480" w:lineRule="auto"/>
        <w:jc w:val="center"/>
        <w:rPr>
          <w:rFonts w:ascii="Times New Roman" w:eastAsia="Times New Roman" w:hAnsi="Times New Roman" w:cs="Times New Roman"/>
        </w:rPr>
      </w:pPr>
      <w:r w:rsidRPr="00EE717B">
        <w:rPr>
          <w:rFonts w:ascii="Times New Roman" w:eastAsia="Times New Roman" w:hAnsi="Times New Roman" w:cs="Times New Roman"/>
          <w:b/>
          <w:bCs/>
          <w:color w:val="000000"/>
          <w:shd w:val="clear" w:color="auto" w:fill="FFFFFF"/>
        </w:rPr>
        <w:t>In patients with atrial fibrillation and EF &lt; 50%, is catheter ablation superior to pharmacologically maintaining sinus rhythm with a resting heart rate of &lt; 100 bpm and a post-exercise heart rate &lt; 115 bpm in improving cardiac function measured by peak VO2 and LVEF?</w:t>
      </w:r>
    </w:p>
    <w:p w14:paraId="357CBDF0" w14:textId="77777777" w:rsidR="00EE717B" w:rsidRPr="00EE717B" w:rsidRDefault="00EE717B" w:rsidP="00EE717B">
      <w:pPr>
        <w:spacing w:line="480" w:lineRule="auto"/>
        <w:rPr>
          <w:rFonts w:ascii="Times New Roman" w:eastAsia="Times New Roman" w:hAnsi="Times New Roman" w:cs="Times New Roman"/>
        </w:rPr>
      </w:pPr>
      <w:r w:rsidRPr="00EE717B">
        <w:rPr>
          <w:rFonts w:ascii="Times New Roman" w:eastAsia="Times New Roman" w:hAnsi="Times New Roman" w:cs="Times New Roman"/>
          <w:color w:val="000000"/>
          <w:shd w:val="clear" w:color="auto" w:fill="FFFFFF"/>
        </w:rPr>
        <w:t> </w:t>
      </w:r>
    </w:p>
    <w:p w14:paraId="0D8F6A12" w14:textId="77777777" w:rsidR="00EE717B" w:rsidRPr="00EE717B" w:rsidRDefault="00EE717B" w:rsidP="00EE717B">
      <w:pPr>
        <w:spacing w:line="480" w:lineRule="auto"/>
        <w:jc w:val="center"/>
        <w:rPr>
          <w:rFonts w:ascii="Times New Roman" w:eastAsia="Times New Roman" w:hAnsi="Times New Roman" w:cs="Times New Roman"/>
        </w:rPr>
      </w:pPr>
      <w:r w:rsidRPr="00EE717B">
        <w:rPr>
          <w:rFonts w:ascii="Times New Roman" w:eastAsia="Times New Roman" w:hAnsi="Times New Roman" w:cs="Times New Roman"/>
          <w:color w:val="000000"/>
          <w:shd w:val="clear" w:color="auto" w:fill="FFFFFF"/>
        </w:rPr>
        <w:t xml:space="preserve"> Callie </w:t>
      </w:r>
      <w:proofErr w:type="spellStart"/>
      <w:r w:rsidRPr="00EE717B">
        <w:rPr>
          <w:rFonts w:ascii="Times New Roman" w:eastAsia="Times New Roman" w:hAnsi="Times New Roman" w:cs="Times New Roman"/>
          <w:color w:val="000000"/>
          <w:shd w:val="clear" w:color="auto" w:fill="FFFFFF"/>
        </w:rPr>
        <w:t>Detz</w:t>
      </w:r>
      <w:proofErr w:type="spellEnd"/>
      <w:r w:rsidRPr="00EE717B">
        <w:rPr>
          <w:rFonts w:ascii="Times New Roman" w:eastAsia="Times New Roman" w:hAnsi="Times New Roman" w:cs="Times New Roman"/>
          <w:color w:val="000000"/>
          <w:shd w:val="clear" w:color="auto" w:fill="FFFFFF"/>
        </w:rPr>
        <w:t xml:space="preserve">, MLS(ASCP) PA-S3, Morgan Northcutt, PA-S3, and Divya Srinivasan, PA-S3, and Julie </w:t>
      </w:r>
      <w:proofErr w:type="spellStart"/>
      <w:r w:rsidRPr="00EE717B">
        <w:rPr>
          <w:rFonts w:ascii="Times New Roman" w:eastAsia="Times New Roman" w:hAnsi="Times New Roman" w:cs="Times New Roman"/>
          <w:color w:val="000000"/>
          <w:shd w:val="clear" w:color="auto" w:fill="FFFFFF"/>
        </w:rPr>
        <w:t>Kutac</w:t>
      </w:r>
      <w:proofErr w:type="spellEnd"/>
      <w:r w:rsidRPr="00EE717B">
        <w:rPr>
          <w:rFonts w:ascii="Times New Roman" w:eastAsia="Times New Roman" w:hAnsi="Times New Roman" w:cs="Times New Roman"/>
          <w:color w:val="000000"/>
          <w:shd w:val="clear" w:color="auto" w:fill="FFFFFF"/>
        </w:rPr>
        <w:t>, PhD</w:t>
      </w:r>
    </w:p>
    <w:p w14:paraId="51E4EBC3" w14:textId="77777777" w:rsidR="00EE717B" w:rsidRPr="00EE717B" w:rsidRDefault="00EE717B" w:rsidP="00EE717B">
      <w:pPr>
        <w:spacing w:line="480" w:lineRule="auto"/>
        <w:jc w:val="center"/>
        <w:rPr>
          <w:rFonts w:ascii="Times New Roman" w:eastAsia="Times New Roman" w:hAnsi="Times New Roman" w:cs="Times New Roman"/>
        </w:rPr>
      </w:pPr>
      <w:r w:rsidRPr="00EE717B">
        <w:rPr>
          <w:rFonts w:ascii="Times New Roman" w:eastAsia="Times New Roman" w:hAnsi="Times New Roman" w:cs="Times New Roman"/>
          <w:color w:val="000000"/>
          <w:shd w:val="clear" w:color="auto" w:fill="FFFFFF"/>
        </w:rPr>
        <w:t>The University of Texas Medical Branch, Galveston, TX, 77555</w:t>
      </w:r>
    </w:p>
    <w:p w14:paraId="56356CA8" w14:textId="77777777" w:rsidR="00EE717B" w:rsidRPr="00EE717B" w:rsidRDefault="00EE717B" w:rsidP="00EE717B">
      <w:pPr>
        <w:spacing w:line="480" w:lineRule="auto"/>
        <w:rPr>
          <w:rFonts w:ascii="Times New Roman" w:eastAsia="Times New Roman" w:hAnsi="Times New Roman" w:cs="Times New Roman"/>
        </w:rPr>
      </w:pPr>
      <w:r w:rsidRPr="00EE717B">
        <w:rPr>
          <w:rFonts w:ascii="Times New Roman" w:eastAsia="Times New Roman" w:hAnsi="Times New Roman" w:cs="Times New Roman"/>
          <w:color w:val="000000"/>
          <w:shd w:val="clear" w:color="auto" w:fill="FFFFFF"/>
        </w:rPr>
        <w:t> </w:t>
      </w:r>
    </w:p>
    <w:p w14:paraId="5A965A8C" w14:textId="77777777" w:rsidR="00EE717B" w:rsidRPr="00EE717B" w:rsidRDefault="00EE717B" w:rsidP="00EE717B">
      <w:pPr>
        <w:spacing w:line="480" w:lineRule="auto"/>
        <w:rPr>
          <w:rFonts w:ascii="Times New Roman" w:eastAsia="Times New Roman" w:hAnsi="Times New Roman" w:cs="Times New Roman"/>
        </w:rPr>
      </w:pPr>
      <w:r w:rsidRPr="00EE717B">
        <w:rPr>
          <w:rFonts w:ascii="Times New Roman" w:eastAsia="Times New Roman" w:hAnsi="Times New Roman" w:cs="Times New Roman"/>
          <w:b/>
          <w:bCs/>
          <w:color w:val="000000"/>
          <w:u w:val="single"/>
          <w:shd w:val="clear" w:color="auto" w:fill="FFFFFF"/>
        </w:rPr>
        <w:t>Background:</w:t>
      </w:r>
    </w:p>
    <w:p w14:paraId="551C8DD1" w14:textId="77777777" w:rsidR="00EE717B" w:rsidRPr="00EE717B" w:rsidRDefault="00EE717B" w:rsidP="00EE717B">
      <w:pPr>
        <w:spacing w:line="480" w:lineRule="auto"/>
        <w:rPr>
          <w:rFonts w:ascii="Times New Roman" w:eastAsia="Times New Roman" w:hAnsi="Times New Roman" w:cs="Times New Roman"/>
        </w:rPr>
      </w:pPr>
      <w:r w:rsidRPr="00EE717B">
        <w:rPr>
          <w:rFonts w:ascii="Times New Roman" w:eastAsia="Times New Roman" w:hAnsi="Times New Roman" w:cs="Times New Roman"/>
          <w:color w:val="000000"/>
          <w:shd w:val="clear" w:color="auto" w:fill="FFFFFF"/>
        </w:rPr>
        <w:t xml:space="preserve">Atrial fibrillation is the </w:t>
      </w:r>
      <w:proofErr w:type="gramStart"/>
      <w:r w:rsidRPr="00EE717B">
        <w:rPr>
          <w:rFonts w:ascii="Times New Roman" w:eastAsia="Times New Roman" w:hAnsi="Times New Roman" w:cs="Times New Roman"/>
          <w:color w:val="000000"/>
          <w:shd w:val="clear" w:color="auto" w:fill="FFFFFF"/>
        </w:rPr>
        <w:t>most commonly diagnosed</w:t>
      </w:r>
      <w:proofErr w:type="gramEnd"/>
      <w:r w:rsidRPr="00EE717B">
        <w:rPr>
          <w:rFonts w:ascii="Times New Roman" w:eastAsia="Times New Roman" w:hAnsi="Times New Roman" w:cs="Times New Roman"/>
          <w:color w:val="000000"/>
          <w:shd w:val="clear" w:color="auto" w:fill="FFFFFF"/>
        </w:rPr>
        <w:t xml:space="preserve"> heart arrhythmia and can ultimately lead to heart failure. Medical management for this dual condition aims to control rate and rhythm. However, frequent adverse effects limit its benefit. Recently, catheter ablation has emerged as a promising alternative to pharmacotherapy in managing atrial fibrillation with heart failure.</w:t>
      </w:r>
    </w:p>
    <w:p w14:paraId="4379666A" w14:textId="77777777" w:rsidR="00EE717B" w:rsidRPr="00EE717B" w:rsidRDefault="00EE717B" w:rsidP="00EE717B">
      <w:pPr>
        <w:spacing w:line="480" w:lineRule="auto"/>
        <w:rPr>
          <w:rFonts w:ascii="Times New Roman" w:eastAsia="Times New Roman" w:hAnsi="Times New Roman" w:cs="Times New Roman"/>
        </w:rPr>
      </w:pPr>
      <w:r w:rsidRPr="00EE717B">
        <w:rPr>
          <w:rFonts w:ascii="Times New Roman" w:eastAsia="Times New Roman" w:hAnsi="Times New Roman" w:cs="Times New Roman"/>
          <w:b/>
          <w:bCs/>
          <w:color w:val="000000"/>
          <w:u w:val="single"/>
          <w:shd w:val="clear" w:color="auto" w:fill="FFFFFF"/>
        </w:rPr>
        <w:t>Purpose:</w:t>
      </w:r>
    </w:p>
    <w:p w14:paraId="235AC208" w14:textId="77777777" w:rsidR="00EE717B" w:rsidRPr="00EE717B" w:rsidRDefault="00EE717B" w:rsidP="00EE717B">
      <w:pPr>
        <w:spacing w:line="480" w:lineRule="auto"/>
        <w:rPr>
          <w:rFonts w:ascii="Times New Roman" w:eastAsia="Times New Roman" w:hAnsi="Times New Roman" w:cs="Times New Roman"/>
        </w:rPr>
      </w:pPr>
      <w:r w:rsidRPr="00EE717B">
        <w:rPr>
          <w:rFonts w:ascii="Times New Roman" w:eastAsia="Times New Roman" w:hAnsi="Times New Roman" w:cs="Times New Roman"/>
          <w:color w:val="000000"/>
          <w:shd w:val="clear" w:color="auto" w:fill="FFFFFF"/>
        </w:rPr>
        <w:t>The purpose of this systematic review and meta-analysis is to evaluate whether catheter ablation is superior to medical therapy in improving cardiac function measured by peak VO2 and LVEF in patients with concomitant atrial fibrillation and heart failure with impaired ejection fraction.</w:t>
      </w:r>
    </w:p>
    <w:p w14:paraId="6BD2785B" w14:textId="77777777" w:rsidR="00EE717B" w:rsidRPr="00EE717B" w:rsidRDefault="00EE717B" w:rsidP="00EE717B">
      <w:pPr>
        <w:spacing w:line="480" w:lineRule="auto"/>
        <w:rPr>
          <w:rFonts w:ascii="Times New Roman" w:eastAsia="Times New Roman" w:hAnsi="Times New Roman" w:cs="Times New Roman"/>
        </w:rPr>
      </w:pPr>
      <w:r w:rsidRPr="00EE717B">
        <w:rPr>
          <w:rFonts w:ascii="Times New Roman" w:eastAsia="Times New Roman" w:hAnsi="Times New Roman" w:cs="Times New Roman"/>
          <w:b/>
          <w:bCs/>
          <w:color w:val="000000"/>
          <w:u w:val="single"/>
          <w:shd w:val="clear" w:color="auto" w:fill="FFFFFF"/>
        </w:rPr>
        <w:t>Materials and Methods:</w:t>
      </w:r>
    </w:p>
    <w:p w14:paraId="046037E5" w14:textId="77777777" w:rsidR="00EE717B" w:rsidRPr="00EE717B" w:rsidRDefault="00EE717B" w:rsidP="00EE717B">
      <w:pPr>
        <w:spacing w:line="480" w:lineRule="auto"/>
        <w:rPr>
          <w:rFonts w:ascii="Times New Roman" w:eastAsia="Times New Roman" w:hAnsi="Times New Roman" w:cs="Times New Roman"/>
        </w:rPr>
      </w:pPr>
      <w:r w:rsidRPr="00EE717B">
        <w:rPr>
          <w:rFonts w:ascii="Times New Roman" w:eastAsia="Times New Roman" w:hAnsi="Times New Roman" w:cs="Times New Roman"/>
          <w:color w:val="000000"/>
          <w:shd w:val="clear" w:color="auto" w:fill="FFFFFF"/>
        </w:rPr>
        <w:t xml:space="preserve">Ovid, Science Direct, </w:t>
      </w:r>
      <w:proofErr w:type="spellStart"/>
      <w:r w:rsidRPr="00EE717B">
        <w:rPr>
          <w:rFonts w:ascii="Times New Roman" w:eastAsia="Times New Roman" w:hAnsi="Times New Roman" w:cs="Times New Roman"/>
          <w:color w:val="000000"/>
          <w:shd w:val="clear" w:color="auto" w:fill="FFFFFF"/>
        </w:rPr>
        <w:t>Pubmed</w:t>
      </w:r>
      <w:proofErr w:type="spellEnd"/>
      <w:r w:rsidRPr="00EE717B">
        <w:rPr>
          <w:rFonts w:ascii="Times New Roman" w:eastAsia="Times New Roman" w:hAnsi="Times New Roman" w:cs="Times New Roman"/>
          <w:color w:val="000000"/>
          <w:shd w:val="clear" w:color="auto" w:fill="FFFFFF"/>
        </w:rPr>
        <w:t xml:space="preserve">, and Google Scholar were searched using the search criteria: “Ablation AND Atrial Fibrillation AND Heart Failure OR Systolic Dysfunction”, the inclusion criteria: “Peer Reviewed, English Language, and Human”, and the exclusion criteria: “Meta-Analysis, Systematic Review, Published prior to 2011”. Twenty studies totaling 5,617 patients </w:t>
      </w:r>
      <w:r w:rsidRPr="00EE717B">
        <w:rPr>
          <w:rFonts w:ascii="Times New Roman" w:eastAsia="Times New Roman" w:hAnsi="Times New Roman" w:cs="Times New Roman"/>
          <w:color w:val="000000"/>
          <w:shd w:val="clear" w:color="auto" w:fill="FFFFFF"/>
        </w:rPr>
        <w:lastRenderedPageBreak/>
        <w:t>were included; all were required to have LVEF as a measured outcome and a baseline LVEF of &lt; 50% for heart failure patients.</w:t>
      </w:r>
    </w:p>
    <w:p w14:paraId="7A4CF0FA" w14:textId="77777777" w:rsidR="00EE717B" w:rsidRPr="00EE717B" w:rsidRDefault="00EE717B" w:rsidP="00EE717B">
      <w:pPr>
        <w:spacing w:line="480" w:lineRule="auto"/>
        <w:rPr>
          <w:rFonts w:ascii="Times New Roman" w:eastAsia="Times New Roman" w:hAnsi="Times New Roman" w:cs="Times New Roman"/>
        </w:rPr>
      </w:pPr>
      <w:r w:rsidRPr="00EE717B">
        <w:rPr>
          <w:rFonts w:ascii="Times New Roman" w:eastAsia="Times New Roman" w:hAnsi="Times New Roman" w:cs="Times New Roman"/>
          <w:b/>
          <w:bCs/>
          <w:color w:val="000000"/>
          <w:u w:val="single"/>
          <w:shd w:val="clear" w:color="auto" w:fill="FFFFFF"/>
        </w:rPr>
        <w:t>Results:</w:t>
      </w:r>
    </w:p>
    <w:p w14:paraId="74C5AE23" w14:textId="12AFDAA3" w:rsidR="00EE717B" w:rsidRPr="00EE717B" w:rsidRDefault="00EE717B" w:rsidP="00EE717B">
      <w:pPr>
        <w:spacing w:line="480" w:lineRule="auto"/>
        <w:rPr>
          <w:rFonts w:ascii="Times New Roman" w:eastAsia="Times New Roman" w:hAnsi="Times New Roman" w:cs="Times New Roman"/>
        </w:rPr>
      </w:pPr>
      <w:r w:rsidRPr="00EE717B">
        <w:rPr>
          <w:rFonts w:ascii="Times New Roman" w:eastAsia="Times New Roman" w:hAnsi="Times New Roman" w:cs="Times New Roman"/>
          <w:color w:val="000000"/>
          <w:shd w:val="clear" w:color="auto" w:fill="FFFFFF"/>
        </w:rPr>
        <w:t>LVEF following catheter ablation showed greater improvement from baseline compared to pharmacotherapy alone throughout eighteen studies. Three of the eight studies which directly compared pharmacotherapy to ablation showed significantly greater improvement in LVEF after ablation</w:t>
      </w:r>
      <w:r>
        <w:rPr>
          <w:rFonts w:ascii="Times New Roman" w:eastAsia="Times New Roman" w:hAnsi="Times New Roman" w:cs="Times New Roman"/>
          <w:color w:val="000000"/>
          <w:shd w:val="clear" w:color="auto" w:fill="FFFFFF"/>
        </w:rPr>
        <w:t xml:space="preserve"> (p &lt; 0.00001)</w:t>
      </w:r>
      <w:r w:rsidRPr="00EE717B">
        <w:rPr>
          <w:rFonts w:ascii="Times New Roman" w:eastAsia="Times New Roman" w:hAnsi="Times New Roman" w:cs="Times New Roman"/>
          <w:color w:val="000000"/>
          <w:shd w:val="clear" w:color="auto" w:fill="FFFFFF"/>
        </w:rPr>
        <w:t xml:space="preserve"> at multiple follow up intervals. Similarly, catheter ablation was superior to medication in improving peak VO2 though data was limited.</w:t>
      </w:r>
    </w:p>
    <w:p w14:paraId="5EB676B7" w14:textId="77777777" w:rsidR="00EE717B" w:rsidRPr="00EE717B" w:rsidRDefault="00EE717B" w:rsidP="00EE717B">
      <w:pPr>
        <w:spacing w:line="480" w:lineRule="auto"/>
        <w:rPr>
          <w:rFonts w:ascii="Times New Roman" w:eastAsia="Times New Roman" w:hAnsi="Times New Roman" w:cs="Times New Roman"/>
        </w:rPr>
      </w:pPr>
      <w:r w:rsidRPr="00EE717B">
        <w:rPr>
          <w:rFonts w:ascii="Times New Roman" w:eastAsia="Times New Roman" w:hAnsi="Times New Roman" w:cs="Times New Roman"/>
          <w:b/>
          <w:bCs/>
          <w:color w:val="000000"/>
          <w:u w:val="single"/>
          <w:shd w:val="clear" w:color="auto" w:fill="FFFFFF"/>
        </w:rPr>
        <w:t>Conclusion:</w:t>
      </w:r>
    </w:p>
    <w:p w14:paraId="18F52A04" w14:textId="77777777" w:rsidR="00EE717B" w:rsidRPr="00EE717B" w:rsidRDefault="00EE717B" w:rsidP="00EE717B">
      <w:pPr>
        <w:spacing w:line="480" w:lineRule="auto"/>
        <w:rPr>
          <w:rFonts w:ascii="Times New Roman" w:eastAsia="Times New Roman" w:hAnsi="Times New Roman" w:cs="Times New Roman"/>
        </w:rPr>
      </w:pPr>
      <w:r w:rsidRPr="00EE717B">
        <w:rPr>
          <w:rFonts w:ascii="Times New Roman" w:eastAsia="Times New Roman" w:hAnsi="Times New Roman" w:cs="Times New Roman"/>
          <w:color w:val="000000"/>
          <w:shd w:val="clear" w:color="auto" w:fill="FFFFFF"/>
        </w:rPr>
        <w:t>Many patients with atrial fibrillation and heart failure have greater overall benefit from early intervention by catheter ablation than with pharmacologic therapy alone. Therefore, primary care clinicians should be diligent in identifying, educating, and referring patients who are candidates, especially in those who experience adverse side effects from traditional pharmacotherapy.</w:t>
      </w:r>
    </w:p>
    <w:p w14:paraId="1059A5A3" w14:textId="77777777" w:rsidR="00EE717B" w:rsidRPr="00EE717B" w:rsidRDefault="00EE717B" w:rsidP="00EE717B">
      <w:pPr>
        <w:rPr>
          <w:rFonts w:ascii="Times New Roman" w:eastAsia="Times New Roman" w:hAnsi="Times New Roman" w:cs="Times New Roman"/>
        </w:rPr>
      </w:pPr>
    </w:p>
    <w:p w14:paraId="47A6D196" w14:textId="77777777" w:rsidR="007F3DD9" w:rsidRDefault="00EE717B"/>
    <w:sectPr w:rsidR="007F3DD9" w:rsidSect="004C48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17B"/>
    <w:rsid w:val="004C489B"/>
    <w:rsid w:val="00B10BB8"/>
    <w:rsid w:val="00EE7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E49D96"/>
  <w15:chartTrackingRefBased/>
  <w15:docId w15:val="{62C42886-64E2-7E40-9B80-0549E710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717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0248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369</Words>
  <Characters>2107</Characters>
  <Application>Microsoft Office Word</Application>
  <DocSecurity>0</DocSecurity>
  <Lines>17</Lines>
  <Paragraphs>4</Paragraphs>
  <ScaleCrop>false</ScaleCrop>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Srinivasan, Divya A.</dc:creator>
  <cp:keywords/>
  <dc:description/>
  <cp:lastModifiedBy>Srinivasan, Divya A.</cp:lastModifiedBy>
  <cp:revision>1</cp:revision>
  <dcterms:created xsi:type="dcterms:W3CDTF">2021-07-17T16:59:00Z</dcterms:created>
  <dcterms:modified xsi:type="dcterms:W3CDTF">2021-07-17T17:03:00Z</dcterms:modified>
</cp:coreProperties>
</file>