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E2858E" w14:textId="77777777" w:rsidR="00A55FF9" w:rsidRPr="00A55FF9" w:rsidRDefault="00A55FF9" w:rsidP="00A55FF9">
      <w:pPr>
        <w:pStyle w:val="Normal1"/>
        <w:spacing w:line="360" w:lineRule="auto"/>
        <w:jc w:val="center"/>
        <w:rPr>
          <w:rFonts w:ascii="Times New Roman" w:eastAsia="Times New Roman" w:hAnsi="Times New Roman" w:cs="Times New Roman"/>
          <w:b/>
          <w:color w:val="auto"/>
          <w:sz w:val="32"/>
          <w:szCs w:val="32"/>
          <w:u w:val="single"/>
        </w:rPr>
      </w:pPr>
      <w:r w:rsidRPr="00A55FF9">
        <w:rPr>
          <w:rFonts w:ascii="Times New Roman" w:eastAsia="Times New Roman" w:hAnsi="Times New Roman" w:cs="Times New Roman"/>
          <w:b/>
          <w:color w:val="auto"/>
          <w:sz w:val="32"/>
          <w:szCs w:val="32"/>
          <w:u w:val="single"/>
        </w:rPr>
        <w:t>The perioperative management of nonvalvular atrial fibrillation patients on long-term oral anticoagulation therapy: A dilemma for GPs (Systematic Review).</w:t>
      </w:r>
    </w:p>
    <w:p w14:paraId="4A2A85AE" w14:textId="30CF4D30" w:rsidR="00A55FF9" w:rsidRPr="00A55FF9" w:rsidRDefault="00A55FF9" w:rsidP="00A55FF9">
      <w:pPr>
        <w:pStyle w:val="Normal1"/>
        <w:spacing w:line="360" w:lineRule="auto"/>
        <w:jc w:val="center"/>
        <w:rPr>
          <w:rFonts w:ascii="Times New Roman" w:eastAsia="Times New Roman" w:hAnsi="Times New Roman" w:cs="Times New Roman"/>
          <w:color w:val="auto"/>
          <w:sz w:val="24"/>
          <w:szCs w:val="24"/>
        </w:rPr>
      </w:pPr>
      <w:r w:rsidRPr="00A55FF9">
        <w:rPr>
          <w:rFonts w:ascii="Times New Roman" w:eastAsia="Times New Roman" w:hAnsi="Times New Roman" w:cs="Times New Roman"/>
          <w:color w:val="auto"/>
          <w:sz w:val="24"/>
          <w:szCs w:val="24"/>
        </w:rPr>
        <w:t xml:space="preserve">Aisling Egan, </w:t>
      </w:r>
      <w:r>
        <w:rPr>
          <w:rFonts w:ascii="Times New Roman" w:eastAsia="Times New Roman" w:hAnsi="Times New Roman" w:cs="Times New Roman"/>
          <w:color w:val="auto"/>
          <w:sz w:val="24"/>
          <w:szCs w:val="24"/>
        </w:rPr>
        <w:t xml:space="preserve">Doctor </w:t>
      </w:r>
      <w:r w:rsidRPr="00A55FF9">
        <w:rPr>
          <w:rFonts w:ascii="Times New Roman" w:eastAsia="Times New Roman" w:hAnsi="Times New Roman" w:cs="Times New Roman"/>
          <w:color w:val="auto"/>
          <w:sz w:val="24"/>
          <w:szCs w:val="24"/>
        </w:rPr>
        <w:t>[1], Peter Hayes, General Practitioner [2].</w:t>
      </w:r>
    </w:p>
    <w:p w14:paraId="5C575008" w14:textId="030F8F1B" w:rsidR="00A55FF9" w:rsidRPr="00A55FF9" w:rsidRDefault="00A55FF9" w:rsidP="00A55FF9">
      <w:pPr>
        <w:pStyle w:val="Normal1"/>
        <w:spacing w:line="360" w:lineRule="auto"/>
        <w:jc w:val="center"/>
        <w:rPr>
          <w:rFonts w:ascii="Times New Roman" w:eastAsia="Times New Roman" w:hAnsi="Times New Roman" w:cs="Times New Roman"/>
          <w:color w:val="auto"/>
          <w:sz w:val="24"/>
          <w:szCs w:val="24"/>
        </w:rPr>
      </w:pPr>
      <w:r w:rsidRPr="00A55FF9">
        <w:rPr>
          <w:rFonts w:ascii="Times New Roman" w:eastAsia="Times New Roman" w:hAnsi="Times New Roman" w:cs="Times New Roman"/>
          <w:color w:val="auto"/>
          <w:sz w:val="24"/>
          <w:szCs w:val="24"/>
        </w:rPr>
        <w:br/>
      </w:r>
      <w:r w:rsidRPr="00A55FF9">
        <w:rPr>
          <w:rFonts w:ascii="Times New Roman" w:eastAsia="Times New Roman" w:hAnsi="Times New Roman" w:cs="Times New Roman"/>
          <w:i/>
          <w:color w:val="auto"/>
          <w:sz w:val="24"/>
          <w:szCs w:val="24"/>
        </w:rPr>
        <w:t>[1]</w:t>
      </w:r>
      <w:r w:rsidRPr="00A55FF9">
        <w:rPr>
          <w:rFonts w:ascii="Times New Roman" w:eastAsia="Times New Roman" w:hAnsi="Times New Roman" w:cs="Times New Roman"/>
          <w:i/>
          <w:color w:val="auto"/>
          <w:sz w:val="24"/>
          <w:szCs w:val="24"/>
        </w:rPr>
        <w:t xml:space="preserve"> </w:t>
      </w:r>
      <w:r w:rsidRPr="00A55FF9">
        <w:rPr>
          <w:rFonts w:ascii="Times New Roman" w:eastAsia="Times New Roman" w:hAnsi="Times New Roman" w:cs="Times New Roman"/>
          <w:color w:val="auto"/>
          <w:sz w:val="24"/>
          <w:szCs w:val="24"/>
        </w:rPr>
        <w:t>NCHD, University Hospital Limerick</w:t>
      </w:r>
      <w:r w:rsidRPr="00A55FF9">
        <w:rPr>
          <w:rFonts w:ascii="Times New Roman" w:eastAsia="Times New Roman" w:hAnsi="Times New Roman" w:cs="Times New Roman"/>
          <w:color w:val="auto"/>
          <w:sz w:val="24"/>
          <w:szCs w:val="24"/>
        </w:rPr>
        <w:t xml:space="preserve">. </w:t>
      </w:r>
    </w:p>
    <w:p w14:paraId="1CA62B5C" w14:textId="77777777" w:rsidR="00A55FF9" w:rsidRPr="00A55FF9" w:rsidRDefault="00A55FF9" w:rsidP="00A55FF9">
      <w:pPr>
        <w:pStyle w:val="Normal1"/>
        <w:spacing w:line="360" w:lineRule="auto"/>
        <w:jc w:val="center"/>
        <w:rPr>
          <w:rFonts w:ascii="Times New Roman" w:eastAsia="Times New Roman" w:hAnsi="Times New Roman" w:cs="Times New Roman"/>
          <w:color w:val="auto"/>
          <w:sz w:val="24"/>
          <w:szCs w:val="24"/>
        </w:rPr>
      </w:pPr>
      <w:r w:rsidRPr="00A55FF9">
        <w:rPr>
          <w:rFonts w:ascii="Times New Roman" w:eastAsia="Times New Roman" w:hAnsi="Times New Roman" w:cs="Times New Roman"/>
          <w:i/>
          <w:color w:val="auto"/>
          <w:sz w:val="24"/>
          <w:szCs w:val="24"/>
        </w:rPr>
        <w:t>[2]</w:t>
      </w:r>
      <w:r w:rsidRPr="00A55FF9">
        <w:rPr>
          <w:rFonts w:ascii="Times New Roman" w:eastAsia="Times New Roman" w:hAnsi="Times New Roman" w:cs="Times New Roman"/>
          <w:color w:val="auto"/>
          <w:sz w:val="24"/>
          <w:szCs w:val="24"/>
        </w:rPr>
        <w:t xml:space="preserve"> Senior Clinical Tutor in General Practice, University of Limerick.</w:t>
      </w:r>
    </w:p>
    <w:p w14:paraId="3B283A47" w14:textId="7E9CAB5C" w:rsidR="00A55FF9" w:rsidRDefault="00A55FF9" w:rsidP="00A55FF9">
      <w:pPr>
        <w:pStyle w:val="Normal1"/>
        <w:spacing w:line="360" w:lineRule="auto"/>
        <w:jc w:val="center"/>
        <w:rPr>
          <w:rFonts w:ascii="Times New Roman" w:eastAsia="Times New Roman" w:hAnsi="Times New Roman" w:cs="Times New Roman"/>
          <w:color w:val="auto"/>
          <w:sz w:val="24"/>
          <w:szCs w:val="24"/>
        </w:rPr>
      </w:pPr>
      <w:r w:rsidRPr="00A55FF9">
        <w:rPr>
          <w:rFonts w:ascii="Times New Roman" w:eastAsia="Times New Roman" w:hAnsi="Times New Roman" w:cs="Times New Roman"/>
          <w:color w:val="auto"/>
          <w:sz w:val="24"/>
          <w:szCs w:val="24"/>
        </w:rPr>
        <w:t>Email</w:t>
      </w:r>
      <w:r w:rsidRPr="00A55FF9">
        <w:rPr>
          <w:rFonts w:ascii="Times New Roman" w:eastAsia="Times New Roman" w:hAnsi="Times New Roman" w:cs="Times New Roman"/>
          <w:color w:val="auto"/>
          <w:sz w:val="24"/>
          <w:szCs w:val="24"/>
        </w:rPr>
        <w:t xml:space="preserve"> address: </w:t>
      </w:r>
      <w:r w:rsidRPr="00A55FF9">
        <w:rPr>
          <w:rFonts w:ascii="Times New Roman" w:eastAsia="Times New Roman" w:hAnsi="Times New Roman" w:cs="Times New Roman"/>
          <w:i/>
          <w:color w:val="auto"/>
          <w:sz w:val="24"/>
          <w:szCs w:val="24"/>
          <w:u w:val="single"/>
        </w:rPr>
        <w:t>aisling.egan@umail.ucc.ie</w:t>
      </w:r>
    </w:p>
    <w:p w14:paraId="5A5E0EA0" w14:textId="6563FFB1" w:rsidR="00A55FF9" w:rsidRDefault="00A55FF9" w:rsidP="00A55FF9">
      <w:pPr>
        <w:pStyle w:val="Normal1"/>
        <w:jc w:val="both"/>
        <w:rPr>
          <w:rFonts w:ascii="Times New Roman" w:eastAsia="Times New Roman" w:hAnsi="Times New Roman" w:cs="Times New Roman"/>
          <w:color w:val="auto"/>
          <w:sz w:val="24"/>
          <w:szCs w:val="24"/>
        </w:rPr>
      </w:pPr>
    </w:p>
    <w:p w14:paraId="485514E6" w14:textId="77777777" w:rsidR="00A55FF9" w:rsidRPr="00A55FF9" w:rsidRDefault="00A55FF9" w:rsidP="00A55FF9">
      <w:pPr>
        <w:pStyle w:val="Normal1"/>
        <w:jc w:val="both"/>
        <w:rPr>
          <w:rFonts w:ascii="Times New Roman" w:hAnsi="Times New Roman" w:cs="Times New Roman"/>
          <w:b/>
          <w:color w:val="auto"/>
          <w:sz w:val="24"/>
          <w:szCs w:val="24"/>
          <w:u w:val="single"/>
        </w:rPr>
      </w:pPr>
    </w:p>
    <w:p w14:paraId="4566AC96" w14:textId="77777777" w:rsidR="00A55FF9" w:rsidRPr="00A55FF9" w:rsidRDefault="00A55FF9" w:rsidP="00A55FF9">
      <w:pPr>
        <w:pStyle w:val="Normal1"/>
        <w:jc w:val="both"/>
        <w:rPr>
          <w:rFonts w:ascii="Times New Roman" w:hAnsi="Times New Roman" w:cs="Times New Roman"/>
          <w:b/>
          <w:color w:val="auto"/>
          <w:sz w:val="24"/>
          <w:szCs w:val="24"/>
          <w:u w:val="single"/>
        </w:rPr>
      </w:pPr>
      <w:r w:rsidRPr="00A55FF9">
        <w:rPr>
          <w:rFonts w:ascii="Times New Roman" w:hAnsi="Times New Roman" w:cs="Times New Roman"/>
          <w:b/>
          <w:color w:val="auto"/>
          <w:sz w:val="24"/>
          <w:szCs w:val="24"/>
          <w:u w:val="single"/>
        </w:rPr>
        <w:t>Abstract.</w:t>
      </w:r>
    </w:p>
    <w:p w14:paraId="0EF7CC97" w14:textId="77777777" w:rsidR="00A55FF9" w:rsidRPr="00A55FF9" w:rsidRDefault="00A55FF9" w:rsidP="00A55FF9">
      <w:pPr>
        <w:pStyle w:val="Normal1"/>
        <w:jc w:val="both"/>
        <w:rPr>
          <w:rFonts w:ascii="Times New Roman" w:eastAsia="Times New Roman" w:hAnsi="Times New Roman" w:cs="Times New Roman"/>
          <w:color w:val="auto"/>
          <w:sz w:val="24"/>
          <w:szCs w:val="24"/>
        </w:rPr>
      </w:pPr>
    </w:p>
    <w:p w14:paraId="53706504" w14:textId="77777777" w:rsidR="00A55FF9" w:rsidRPr="00A55FF9" w:rsidRDefault="00A55FF9" w:rsidP="00A55FF9">
      <w:pPr>
        <w:spacing w:line="360" w:lineRule="auto"/>
        <w:jc w:val="both"/>
        <w:rPr>
          <w:b/>
        </w:rPr>
      </w:pPr>
      <w:r w:rsidRPr="00A55FF9">
        <w:rPr>
          <w:b/>
        </w:rPr>
        <w:t>Introduction.</w:t>
      </w:r>
    </w:p>
    <w:p w14:paraId="19E03215" w14:textId="77777777" w:rsidR="00A55FF9" w:rsidRPr="00A55FF9" w:rsidRDefault="00A55FF9" w:rsidP="00A55FF9">
      <w:pPr>
        <w:spacing w:line="360" w:lineRule="auto"/>
        <w:jc w:val="both"/>
      </w:pPr>
      <w:r w:rsidRPr="00A55FF9">
        <w:t>The aim of this systematic review was to assess the perioperative management of nonvalvular atrial fibrillation (AF) patients on long-term oral anticoagulation therapy in a Primary Care setting.</w:t>
      </w:r>
    </w:p>
    <w:p w14:paraId="48EE0B1F" w14:textId="77777777" w:rsidR="00A55FF9" w:rsidRPr="00A55FF9" w:rsidRDefault="00A55FF9" w:rsidP="00A55FF9">
      <w:pPr>
        <w:spacing w:line="360" w:lineRule="auto"/>
        <w:jc w:val="both"/>
        <w:rPr>
          <w:b/>
        </w:rPr>
      </w:pPr>
    </w:p>
    <w:p w14:paraId="6F2D86A4" w14:textId="77777777" w:rsidR="00A55FF9" w:rsidRPr="00A55FF9" w:rsidRDefault="00A55FF9" w:rsidP="00A55FF9">
      <w:pPr>
        <w:spacing w:line="360" w:lineRule="auto"/>
        <w:jc w:val="both"/>
        <w:rPr>
          <w:b/>
        </w:rPr>
      </w:pPr>
      <w:r w:rsidRPr="00A55FF9">
        <w:rPr>
          <w:b/>
        </w:rPr>
        <w:t>Methods.</w:t>
      </w:r>
    </w:p>
    <w:p w14:paraId="40932E60" w14:textId="627ACBB7" w:rsidR="00A55FF9" w:rsidRPr="00A55FF9" w:rsidRDefault="00A55FF9" w:rsidP="00A55FF9">
      <w:pPr>
        <w:spacing w:line="360" w:lineRule="auto"/>
        <w:jc w:val="both"/>
      </w:pPr>
      <w:r w:rsidRPr="00A55FF9">
        <w:t xml:space="preserve">A comprehensive search strategy was performed on varying databases including, EMBASE, </w:t>
      </w:r>
      <w:proofErr w:type="spellStart"/>
      <w:r w:rsidRPr="00A55FF9">
        <w:t>Pubmed</w:t>
      </w:r>
      <w:proofErr w:type="spellEnd"/>
      <w:r w:rsidRPr="00A55FF9">
        <w:t>, NIH clinical trials and Cochrane database of systematic reviews for clinical trials, cohort studies, randomised control trials, meta-analysis, systematic reviews relating to ‘perioperative management’, ‘Nonvalvu</w:t>
      </w:r>
      <w:bookmarkStart w:id="0" w:name="_GoBack"/>
      <w:bookmarkEnd w:id="0"/>
      <w:r w:rsidRPr="00A55FF9">
        <w:t>lar Atrial fibrillation’, ‘bridging’, ‘Primary Care’, ‘General Practitioner’ and ‘anticoagulation’. The identified studies from the literature search were then further evaluated using our strict inclusion and exclusion criteria. The Critical Appraisal Skills Programme (CASP) tools</w:t>
      </w:r>
      <w:r>
        <w:t xml:space="preserve"> (1)</w:t>
      </w:r>
      <w:r w:rsidRPr="00A55FF9">
        <w:rPr>
          <w:b/>
        </w:rPr>
        <w:t xml:space="preserve"> </w:t>
      </w:r>
      <w:r w:rsidRPr="00A55FF9">
        <w:t xml:space="preserve">and Cochrane database of systematic reviews was used for critical appraisal and evaluate for possible bias of the selected papers. </w:t>
      </w:r>
    </w:p>
    <w:p w14:paraId="6966E8D2" w14:textId="77777777" w:rsidR="00A55FF9" w:rsidRPr="00A55FF9" w:rsidRDefault="00A55FF9" w:rsidP="00A55FF9">
      <w:pPr>
        <w:spacing w:line="360" w:lineRule="auto"/>
        <w:jc w:val="both"/>
        <w:rPr>
          <w:b/>
        </w:rPr>
      </w:pPr>
    </w:p>
    <w:p w14:paraId="2BFEB93A" w14:textId="77777777" w:rsidR="00A55FF9" w:rsidRPr="00A55FF9" w:rsidRDefault="00A55FF9" w:rsidP="00A55FF9">
      <w:pPr>
        <w:spacing w:line="360" w:lineRule="auto"/>
        <w:jc w:val="both"/>
        <w:rPr>
          <w:b/>
        </w:rPr>
      </w:pPr>
      <w:r w:rsidRPr="00A55FF9">
        <w:rPr>
          <w:b/>
        </w:rPr>
        <w:t>Results.</w:t>
      </w:r>
    </w:p>
    <w:p w14:paraId="4341767C" w14:textId="77777777" w:rsidR="00A55FF9" w:rsidRDefault="00A55FF9" w:rsidP="00A55FF9">
      <w:pPr>
        <w:spacing w:line="360" w:lineRule="auto"/>
        <w:jc w:val="both"/>
      </w:pPr>
      <w:r w:rsidRPr="00A55FF9">
        <w:t xml:space="preserve">Studies analysed, in this systematic review, suggest that further research is warranted to investigate perioperative management of nonvalvular AF patients on long-term anticoagulation therapy in a Primary Care setting. From the results gathered, it could be argued that GPs should consider an individualised approach to the administration of treatment for these patients’ optimal perioperative care.  </w:t>
      </w:r>
    </w:p>
    <w:p w14:paraId="08790A65" w14:textId="12F45A86" w:rsidR="00A55FF9" w:rsidRPr="00A55FF9" w:rsidRDefault="00A55FF9" w:rsidP="00A55FF9">
      <w:pPr>
        <w:spacing w:line="360" w:lineRule="auto"/>
        <w:jc w:val="both"/>
      </w:pPr>
      <w:r w:rsidRPr="00A55FF9">
        <w:rPr>
          <w:b/>
        </w:rPr>
        <w:lastRenderedPageBreak/>
        <w:t>Conclusion.</w:t>
      </w:r>
    </w:p>
    <w:p w14:paraId="26908CC6" w14:textId="77777777" w:rsidR="00A55FF9" w:rsidRPr="00A55FF9" w:rsidRDefault="00A55FF9" w:rsidP="00A55FF9">
      <w:pPr>
        <w:spacing w:line="360" w:lineRule="auto"/>
        <w:jc w:val="both"/>
      </w:pPr>
      <w:r w:rsidRPr="00A55FF9">
        <w:t xml:space="preserve">Standardised protocols and larger studies may help to further evaluate the clinical significance of patient and procedure specific perioperative management of nonvalvular AF patients on long-term oral anticoagulation therapy in a Primary Care setting. </w:t>
      </w:r>
    </w:p>
    <w:p w14:paraId="127557BB" w14:textId="77777777" w:rsidR="00A55FF9" w:rsidRPr="00A55FF9" w:rsidRDefault="00A55FF9" w:rsidP="00A55FF9">
      <w:pPr>
        <w:spacing w:line="360" w:lineRule="auto"/>
        <w:jc w:val="both"/>
        <w:rPr>
          <w:b/>
        </w:rPr>
      </w:pPr>
    </w:p>
    <w:p w14:paraId="3AB36592" w14:textId="77777777" w:rsidR="00A55FF9" w:rsidRPr="00A55FF9" w:rsidRDefault="00A55FF9" w:rsidP="00A55FF9">
      <w:pPr>
        <w:spacing w:line="360" w:lineRule="auto"/>
        <w:jc w:val="both"/>
        <w:rPr>
          <w:b/>
        </w:rPr>
      </w:pPr>
      <w:r w:rsidRPr="00A55FF9">
        <w:rPr>
          <w:b/>
        </w:rPr>
        <w:t xml:space="preserve">Key words. </w:t>
      </w:r>
    </w:p>
    <w:p w14:paraId="0F4C5434" w14:textId="77777777" w:rsidR="00A55FF9" w:rsidRPr="00A55FF9" w:rsidRDefault="00A55FF9" w:rsidP="00A55FF9">
      <w:pPr>
        <w:spacing w:line="360" w:lineRule="auto"/>
        <w:jc w:val="both"/>
      </w:pPr>
      <w:r w:rsidRPr="00A55FF9">
        <w:t>Perioperative management, nonvalvular atrial fibrillation, atrial fibrillation (AF), General Practitioners (GP), Primary Care, bridging, anticoagulation, anticoagulants.</w:t>
      </w:r>
    </w:p>
    <w:p w14:paraId="7E471146" w14:textId="77777777" w:rsidR="00A55FF9" w:rsidRPr="00A55FF9" w:rsidRDefault="00A55FF9" w:rsidP="00A55FF9"/>
    <w:p w14:paraId="076EA817" w14:textId="77777777" w:rsidR="00A55FF9" w:rsidRPr="00A55FF9" w:rsidRDefault="00A55FF9" w:rsidP="00A55FF9">
      <w:pPr>
        <w:rPr>
          <w:b/>
        </w:rPr>
      </w:pPr>
    </w:p>
    <w:p w14:paraId="3B331EFF" w14:textId="77777777" w:rsidR="00A55FF9" w:rsidRPr="00A55FF9" w:rsidRDefault="00A55FF9" w:rsidP="00A55FF9">
      <w:pPr>
        <w:rPr>
          <w:b/>
        </w:rPr>
      </w:pPr>
      <w:r w:rsidRPr="00A55FF9">
        <w:rPr>
          <w:b/>
        </w:rPr>
        <w:t xml:space="preserve">References. </w:t>
      </w:r>
    </w:p>
    <w:p w14:paraId="2A4EE3C3" w14:textId="517D42D9" w:rsidR="00A55FF9" w:rsidRPr="00A55FF9" w:rsidRDefault="00A55FF9" w:rsidP="00A55FF9">
      <w:pPr>
        <w:pStyle w:val="ListParagraph"/>
        <w:widowControl w:val="0"/>
        <w:numPr>
          <w:ilvl w:val="0"/>
          <w:numId w:val="1"/>
        </w:numPr>
        <w:autoSpaceDE w:val="0"/>
        <w:autoSpaceDN w:val="0"/>
        <w:adjustRightInd w:val="0"/>
        <w:spacing w:line="360" w:lineRule="auto"/>
      </w:pPr>
      <w:r w:rsidRPr="00A55FF9">
        <w:rPr>
          <w:noProof/>
        </w:rPr>
        <w:t xml:space="preserve">CASP Qualitative assessment. in (2017). Available at: </w:t>
      </w:r>
      <w:hyperlink r:id="rId5" w:history="1">
        <w:r w:rsidRPr="00A55FF9">
          <w:rPr>
            <w:rStyle w:val="Hyperlink"/>
            <w:color w:val="auto"/>
            <w:u w:val="none"/>
          </w:rPr>
          <w:t>https://casp-uk.net/casp-tools-checklists/</w:t>
        </w:r>
      </w:hyperlink>
      <w:r>
        <w:t xml:space="preserve"> </w:t>
      </w:r>
      <w:r w:rsidRPr="00A55FF9">
        <w:t>Accessed on the 8</w:t>
      </w:r>
      <w:r w:rsidRPr="00A55FF9">
        <w:rPr>
          <w:vertAlign w:val="superscript"/>
        </w:rPr>
        <w:t>th</w:t>
      </w:r>
      <w:r w:rsidRPr="00A55FF9">
        <w:t xml:space="preserve"> of July 2019.</w:t>
      </w:r>
    </w:p>
    <w:p w14:paraId="2F84809D" w14:textId="62ABF376" w:rsidR="00A55FF9" w:rsidRPr="00A55FF9" w:rsidRDefault="00A55FF9" w:rsidP="00A55FF9">
      <w:pPr>
        <w:rPr>
          <w:b/>
        </w:rPr>
      </w:pPr>
    </w:p>
    <w:p w14:paraId="2F295DEA" w14:textId="77777777" w:rsidR="00977809" w:rsidRPr="00A55FF9" w:rsidRDefault="00977809"/>
    <w:sectPr w:rsidR="00977809" w:rsidRPr="00A55F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9743F"/>
    <w:multiLevelType w:val="hybridMultilevel"/>
    <w:tmpl w:val="920EA118"/>
    <w:lvl w:ilvl="0" w:tplc="72825EF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FF9"/>
    <w:rsid w:val="00977809"/>
    <w:rsid w:val="00A55FF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E31F1"/>
  <w15:chartTrackingRefBased/>
  <w15:docId w15:val="{1DBCC527-F80B-457C-8AA4-23260229F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FF9"/>
    <w:pPr>
      <w:spacing w:after="0" w:line="240" w:lineRule="auto"/>
    </w:pPr>
    <w:rPr>
      <w:rFonts w:ascii="Times New Roman" w:eastAsia="Times New Roman" w:hAnsi="Times New Roman" w:cs="Times New Roman"/>
      <w:sz w:val="24"/>
      <w:szCs w:val="24"/>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5FF9"/>
    <w:rPr>
      <w:color w:val="0563C1" w:themeColor="hyperlink"/>
      <w:u w:val="single"/>
    </w:rPr>
  </w:style>
  <w:style w:type="paragraph" w:customStyle="1" w:styleId="Normal1">
    <w:name w:val="Normal1"/>
    <w:rsid w:val="00A55FF9"/>
    <w:pPr>
      <w:pBdr>
        <w:top w:val="nil"/>
        <w:left w:val="nil"/>
        <w:bottom w:val="nil"/>
        <w:right w:val="nil"/>
        <w:between w:val="nil"/>
      </w:pBdr>
      <w:spacing w:after="0" w:line="276" w:lineRule="auto"/>
    </w:pPr>
    <w:rPr>
      <w:rFonts w:ascii="Arial" w:eastAsia="Arial" w:hAnsi="Arial" w:cs="Arial"/>
      <w:color w:val="000000"/>
      <w:lang w:eastAsia="en-IE"/>
    </w:rPr>
  </w:style>
  <w:style w:type="paragraph" w:styleId="ListParagraph">
    <w:name w:val="List Paragraph"/>
    <w:basedOn w:val="Normal"/>
    <w:uiPriority w:val="34"/>
    <w:qFormat/>
    <w:rsid w:val="00A55F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asp-uk.net/casp-tools-checklis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357</Words>
  <Characters>2039</Characters>
  <Application>Microsoft Office Word</Application>
  <DocSecurity>0</DocSecurity>
  <Lines>16</Lines>
  <Paragraphs>4</Paragraphs>
  <ScaleCrop>false</ScaleCrop>
  <Company/>
  <LinksUpToDate>false</LinksUpToDate>
  <CharactersWithSpaces>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aisling egan</dc:creator>
  <cp:keywords/>
  <dc:description/>
  <cp:lastModifiedBy>aisling egan</cp:lastModifiedBy>
  <cp:revision>1</cp:revision>
  <dcterms:created xsi:type="dcterms:W3CDTF">2020-11-22T11:41:00Z</dcterms:created>
  <dcterms:modified xsi:type="dcterms:W3CDTF">2020-11-22T11:45:00Z</dcterms:modified>
</cp:coreProperties>
</file>