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FF7" w:rsidRDefault="00404871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Evaluatıon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o</w:t>
      </w:r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f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The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Neutrophıl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/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Lymphocyte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Ratio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(NLR) 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and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Platellet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/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Lymphocyte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Ratio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(PLR</w:t>
      </w:r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)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for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Cardıovascular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Rısk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in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Patıents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w</w:t>
      </w:r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ıth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Subclınıc</w:t>
      </w:r>
      <w:proofErr w:type="spellEnd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Hypert</w:t>
      </w:r>
      <w:r w:rsidRPr="00CF4EDA">
        <w:rPr>
          <w:rFonts w:ascii="Times New Roman" w:eastAsiaTheme="minorEastAsia" w:hAnsi="Times New Roman" w:cs="Times New Roman"/>
          <w:sz w:val="24"/>
          <w:szCs w:val="24"/>
        </w:rPr>
        <w:t>h</w:t>
      </w:r>
      <w:r w:rsidR="004A0FF7" w:rsidRPr="00CF4EDA">
        <w:rPr>
          <w:rFonts w:ascii="Times New Roman" w:eastAsiaTheme="minorEastAsia" w:hAnsi="Times New Roman" w:cs="Times New Roman"/>
          <w:sz w:val="24"/>
          <w:szCs w:val="24"/>
        </w:rPr>
        <w:t>yroıdısm</w:t>
      </w:r>
      <w:proofErr w:type="spellEnd"/>
    </w:p>
    <w:p w:rsidR="00C9321B" w:rsidRDefault="00C9321B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0" w:name="_GoBack"/>
      <w:bookmarkEnd w:id="0"/>
    </w:p>
    <w:p w:rsidR="00C9321B" w:rsidRDefault="00C9321B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Müge Keskin</w:t>
      </w:r>
    </w:p>
    <w:p w:rsidR="00C9321B" w:rsidRPr="00CF4EDA" w:rsidRDefault="00C9321B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Ankara City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Hospitale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Endocrinology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Metabolism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, Ankara, </w:t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Turkey</w:t>
      </w:r>
      <w:proofErr w:type="spellEnd"/>
    </w:p>
    <w:p w:rsidR="00404871" w:rsidRPr="00CF4EDA" w:rsidRDefault="00404871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963779" w:rsidRPr="00CF4EDA" w:rsidRDefault="009B339D" w:rsidP="00963779">
      <w:pPr>
        <w:pStyle w:val="HTMLncedenBiimlendirilmi"/>
        <w:rPr>
          <w:rFonts w:ascii="Times New Roman" w:hAnsi="Times New Roman" w:cs="Times New Roman"/>
          <w:sz w:val="24"/>
          <w:szCs w:val="24"/>
          <w:lang w:val="en"/>
        </w:rPr>
      </w:pPr>
      <w:proofErr w:type="spellStart"/>
      <w:r w:rsidRPr="00CF4EDA">
        <w:rPr>
          <w:rFonts w:ascii="Times New Roman" w:hAnsi="Times New Roman" w:cs="Times New Roman"/>
          <w:sz w:val="24"/>
          <w:szCs w:val="24"/>
        </w:rPr>
        <w:t>İntroduction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Subclinical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hyperthyroidism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is a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characterized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low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serum TSH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concentration</w:t>
      </w:r>
      <w:proofErr w:type="spellEnd"/>
      <w:r w:rsidR="00404871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871" w:rsidRPr="00CF4ED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404871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Pr="00CF4EDA">
        <w:rPr>
          <w:rFonts w:ascii="Times New Roman" w:hAnsi="Times New Roman" w:cs="Times New Roman"/>
          <w:sz w:val="24"/>
          <w:szCs w:val="24"/>
        </w:rPr>
        <w:t xml:space="preserve">normal serum sT3, sT4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. </w:t>
      </w:r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>M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 xml:space="preserve">ain </w:t>
      </w:r>
      <w:proofErr w:type="spellStart"/>
      <w:r w:rsidRPr="00CF4EDA">
        <w:rPr>
          <w:rFonts w:ascii="Times New Roman" w:hAnsi="Times New Roman" w:cs="Times New Roman"/>
          <w:sz w:val="24"/>
          <w:szCs w:val="24"/>
          <w:lang w:val="en"/>
        </w:rPr>
        <w:t>target</w:t>
      </w:r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>’s</w:t>
      </w:r>
      <w:proofErr w:type="spellEnd"/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 xml:space="preserve"> of thyroid </w:t>
      </w:r>
      <w:proofErr w:type="gramStart"/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>hormones  are</w:t>
      </w:r>
      <w:proofErr w:type="gramEnd"/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 xml:space="preserve"> cardiovascular system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 xml:space="preserve"> affect</w:t>
      </w:r>
      <w:r w:rsidR="003A3983" w:rsidRPr="00CF4EDA">
        <w:rPr>
          <w:rFonts w:ascii="Times New Roman" w:hAnsi="Times New Roman" w:cs="Times New Roman"/>
          <w:sz w:val="24"/>
          <w:szCs w:val="24"/>
          <w:lang w:val="en"/>
        </w:rPr>
        <w:t xml:space="preserve">ing 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>cardiac electrophysiology, vascular structures and m</w:t>
      </w:r>
      <w:r w:rsidR="00EE5B8A" w:rsidRPr="00CF4EDA">
        <w:rPr>
          <w:rFonts w:ascii="Times New Roman" w:hAnsi="Times New Roman" w:cs="Times New Roman"/>
          <w:sz w:val="24"/>
          <w:szCs w:val="24"/>
          <w:lang w:val="en"/>
        </w:rPr>
        <w:t xml:space="preserve">yocardium, causing arrhythmias, 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>ath</w:t>
      </w:r>
      <w:r w:rsidR="00404871" w:rsidRPr="00CF4EDA">
        <w:rPr>
          <w:rFonts w:ascii="Times New Roman" w:hAnsi="Times New Roman" w:cs="Times New Roman"/>
          <w:sz w:val="24"/>
          <w:szCs w:val="24"/>
          <w:lang w:val="en"/>
        </w:rPr>
        <w:t>erosclerosis, and heart failure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>. Subclinical hyperthyroidism is a characterized that increases cardiovascular risk factors including lipid profile changes, insulin resistance, oxidative s</w:t>
      </w:r>
      <w:r w:rsidR="002327D5" w:rsidRPr="00CF4EDA">
        <w:rPr>
          <w:rFonts w:ascii="Times New Roman" w:hAnsi="Times New Roman" w:cs="Times New Roman"/>
          <w:sz w:val="24"/>
          <w:szCs w:val="24"/>
          <w:lang w:val="en"/>
        </w:rPr>
        <w:t>tress, endothelial dysfunction.</w:t>
      </w:r>
      <w:r w:rsidRPr="00CF4EDA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963779" w:rsidRPr="00CF4EDA">
        <w:rPr>
          <w:rFonts w:ascii="Times New Roman" w:hAnsi="Times New Roman" w:cs="Times New Roman"/>
          <w:sz w:val="24"/>
          <w:szCs w:val="24"/>
          <w:lang w:val="en"/>
        </w:rPr>
        <w:t>In this study, we aimed to evaluate the relationship between TSH levels and cardiovascular risk markers in patients wi</w:t>
      </w:r>
      <w:r w:rsidR="002327D5" w:rsidRPr="00CF4EDA">
        <w:rPr>
          <w:rFonts w:ascii="Times New Roman" w:hAnsi="Times New Roman" w:cs="Times New Roman"/>
          <w:sz w:val="24"/>
          <w:szCs w:val="24"/>
          <w:lang w:val="en"/>
        </w:rPr>
        <w:t>th subclinical hyperthyroidism.</w:t>
      </w:r>
    </w:p>
    <w:p w:rsidR="003A3983" w:rsidRPr="00CF4EDA" w:rsidRDefault="003A3983" w:rsidP="00963779">
      <w:pPr>
        <w:pStyle w:val="HTMLncedenBiimlendirilmi"/>
        <w:rPr>
          <w:rFonts w:ascii="Times New Roman" w:hAnsi="Times New Roman" w:cs="Times New Roman"/>
          <w:sz w:val="24"/>
          <w:szCs w:val="24"/>
          <w:lang w:val="en"/>
        </w:rPr>
      </w:pPr>
    </w:p>
    <w:p w:rsidR="003A3983" w:rsidRPr="00CF4EDA" w:rsidRDefault="003A3983" w:rsidP="003A3983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CF4EDA">
        <w:rPr>
          <w:rFonts w:ascii="Times New Roman" w:hAnsi="Times New Roman" w:cs="Times New Roman"/>
          <w:sz w:val="24"/>
          <w:szCs w:val="24"/>
        </w:rPr>
        <w:t>Materials and Methods:  A total of 179 subjects were included in the study between April 2017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 April 2018 which are 39 patients with subclinical hyperthyroidism</w:t>
      </w:r>
      <w:r w:rsidR="004041FB" w:rsidRPr="00CF4EDA">
        <w:rPr>
          <w:rFonts w:ascii="Times New Roman" w:hAnsi="Times New Roman" w:cs="Times New Roman"/>
          <w:sz w:val="24"/>
          <w:szCs w:val="24"/>
        </w:rPr>
        <w:t xml:space="preserve"> (Grup 3) </w:t>
      </w:r>
      <w:r w:rsidRPr="00CF4ED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diagnosed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toxic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adenoma,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toxic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 multinodular goiter (TMNG), toxic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diffuse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goiter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(TDG)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42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1≤TSH&lt;4 (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1</w:t>
      </w:r>
      <w:r w:rsidR="004041FB" w:rsidRPr="00CF4EDA">
        <w:rPr>
          <w:rFonts w:ascii="Times New Roman" w:hAnsi="Times New Roman" w:cs="Times New Roman"/>
          <w:sz w:val="24"/>
          <w:szCs w:val="24"/>
        </w:rPr>
        <w:t>-Grup 1</w:t>
      </w:r>
      <w:r w:rsidRPr="00CF4EDA">
        <w:rPr>
          <w:rFonts w:ascii="Times New Roman" w:hAnsi="Times New Roman" w:cs="Times New Roman"/>
          <w:sz w:val="24"/>
          <w:szCs w:val="24"/>
        </w:rPr>
        <w:t>), 72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 0,5≤TSH&lt;1 (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2</w:t>
      </w:r>
      <w:r w:rsidR="004041FB" w:rsidRPr="00CF4EDA">
        <w:rPr>
          <w:rFonts w:ascii="Times New Roman" w:hAnsi="Times New Roman" w:cs="Times New Roman"/>
          <w:sz w:val="24"/>
          <w:szCs w:val="24"/>
        </w:rPr>
        <w:t>-Grup 2</w:t>
      </w:r>
      <w:r w:rsidRPr="00CF4EDA">
        <w:rPr>
          <w:rFonts w:ascii="Times New Roman" w:hAnsi="Times New Roman" w:cs="Times New Roman"/>
          <w:sz w:val="24"/>
          <w:szCs w:val="24"/>
        </w:rPr>
        <w:t>)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is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controls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Retrospectively,T</w:t>
      </w:r>
      <w:r w:rsidR="002327D5" w:rsidRPr="00CF4EDA">
        <w:rPr>
          <w:rFonts w:ascii="Times New Roman" w:hAnsi="Times New Roman" w:cs="Times New Roman"/>
          <w:sz w:val="24"/>
          <w:szCs w:val="24"/>
        </w:rPr>
        <w:t>SH</w:t>
      </w:r>
      <w:proofErr w:type="spellEnd"/>
      <w:proofErr w:type="gramEnd"/>
      <w:r w:rsidR="002327D5" w:rsidRPr="00CF4EDA">
        <w:rPr>
          <w:rFonts w:ascii="Times New Roman" w:hAnsi="Times New Roman" w:cs="Times New Roman"/>
          <w:sz w:val="24"/>
          <w:szCs w:val="24"/>
        </w:rPr>
        <w:t>, sT4,s</w:t>
      </w:r>
      <w:r w:rsidRPr="00CF4EDA">
        <w:rPr>
          <w:rFonts w:ascii="Times New Roman" w:hAnsi="Times New Roman" w:cs="Times New Roman"/>
          <w:sz w:val="24"/>
          <w:szCs w:val="24"/>
        </w:rPr>
        <w:t>T3, ATPO,ATG,TRAB 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,</w:t>
      </w:r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neutrophıl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lymphocyte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platellet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eastAsiaTheme="minorEastAsia" w:hAnsi="Times New Roman" w:cs="Times New Roman"/>
          <w:sz w:val="24"/>
          <w:szCs w:val="24"/>
        </w:rPr>
        <w:t>count</w:t>
      </w:r>
      <w:proofErr w:type="spellEnd"/>
      <w:r w:rsidRPr="00CF4ED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F4EDA">
        <w:rPr>
          <w:rFonts w:ascii="Times New Roman" w:hAnsi="Times New Roman" w:cs="Times New Roman"/>
          <w:sz w:val="24"/>
          <w:szCs w:val="24"/>
        </w:rPr>
        <w:t xml:space="preserve"> has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noted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NLR, PLR</w:t>
      </w:r>
      <w:r w:rsidR="00425F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F8D">
        <w:rPr>
          <w:rFonts w:ascii="Times New Roman" w:hAnsi="Times New Roman" w:cs="Times New Roman"/>
          <w:sz w:val="24"/>
          <w:szCs w:val="24"/>
        </w:rPr>
        <w:t>ratio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calculated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 xml:space="preserve">.  </w:t>
      </w:r>
    </w:p>
    <w:p w:rsidR="00763CD9" w:rsidRPr="00CF4EDA" w:rsidRDefault="00DD4541" w:rsidP="00020113">
      <w:p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4EDA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:</w:t>
      </w:r>
      <w:r w:rsidR="00404871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C05B4F" w:rsidRPr="00CF4EDA">
        <w:rPr>
          <w:rFonts w:ascii="Times New Roman" w:hAnsi="Times New Roman" w:cs="Times New Roman"/>
          <w:sz w:val="24"/>
          <w:szCs w:val="24"/>
        </w:rPr>
        <w:t xml:space="preserve">No </w:t>
      </w:r>
      <w:r w:rsidR="00C05B4F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>statistically significant difference</w:t>
      </w:r>
      <w:r w:rsidR="00C05B4F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3D37A9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in terms of </w:t>
      </w:r>
      <w:r w:rsidR="00E40FF5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>gender distribution</w:t>
      </w:r>
      <w:r w:rsidR="00E40FF5" w:rsidRPr="00CF4EDA">
        <w:rPr>
          <w:rFonts w:ascii="Times New Roman" w:hAnsi="Times New Roman" w:cs="Times New Roman"/>
          <w:sz w:val="24"/>
          <w:szCs w:val="24"/>
        </w:rPr>
        <w:t xml:space="preserve"> (p=0.378)</w:t>
      </w:r>
      <w:r w:rsidR="003D37A9" w:rsidRPr="00CF4EDA">
        <w:rPr>
          <w:rFonts w:ascii="Times New Roman" w:hAnsi="Times New Roman" w:cs="Times New Roman"/>
          <w:sz w:val="24"/>
          <w:szCs w:val="24"/>
        </w:rPr>
        <w:t>.</w:t>
      </w:r>
      <w:r w:rsidR="00020113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age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proofErr w:type="gram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40.7±12.1 in Grup 1, </w:t>
      </w:r>
      <w:r w:rsidR="00020113" w:rsidRPr="00CF4EDA">
        <w:rPr>
          <w:rFonts w:ascii="Times New Roman" w:hAnsi="Times New Roman" w:cs="Times New Roman"/>
          <w:sz w:val="24"/>
          <w:szCs w:val="24"/>
        </w:rPr>
        <w:t>45.4±12.6</w:t>
      </w:r>
      <w:r w:rsidR="004041FB" w:rsidRPr="00CF4EDA">
        <w:rPr>
          <w:rFonts w:ascii="Times New Roman" w:hAnsi="Times New Roman" w:cs="Times New Roman"/>
          <w:sz w:val="24"/>
          <w:szCs w:val="24"/>
        </w:rPr>
        <w:t xml:space="preserve"> in Grup 2, </w:t>
      </w:r>
      <w:r w:rsidR="00020113" w:rsidRPr="00CF4EDA">
        <w:rPr>
          <w:rFonts w:ascii="Times New Roman" w:hAnsi="Times New Roman" w:cs="Times New Roman"/>
          <w:sz w:val="24"/>
          <w:szCs w:val="24"/>
        </w:rPr>
        <w:t>46.9±12.7</w:t>
      </w:r>
      <w:r w:rsidR="004041FB" w:rsidRPr="00CF4EDA">
        <w:rPr>
          <w:rFonts w:ascii="Times New Roman" w:hAnsi="Times New Roman" w:cs="Times New Roman"/>
          <w:sz w:val="24"/>
          <w:szCs w:val="24"/>
        </w:rPr>
        <w:t xml:space="preserve"> in Grup 3</w:t>
      </w:r>
      <w:r w:rsidR="00020113" w:rsidRPr="00CF4EDA">
        <w:rPr>
          <w:rFonts w:ascii="Times New Roman" w:hAnsi="Times New Roman" w:cs="Times New Roman"/>
          <w:sz w:val="24"/>
          <w:szCs w:val="24"/>
        </w:rPr>
        <w:t>.</w:t>
      </w:r>
      <w:r w:rsidR="003D37A9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CF4EDA" w:rsidRPr="00CF4EDA">
        <w:rPr>
          <w:rFonts w:ascii="Times New Roman" w:hAnsi="Times New Roman" w:cs="Times New Roman"/>
          <w:sz w:val="24"/>
          <w:szCs w:val="24"/>
          <w:lang w:val="en"/>
        </w:rPr>
        <w:t>Thyroid autoantibodies were negative in all patients and there was no difference between the groups.</w:t>
      </w:r>
      <w:r w:rsidR="00CF4EDA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E40FF5" w:rsidRPr="00CF4EDA">
        <w:rPr>
          <w:rFonts w:ascii="Times New Roman" w:hAnsi="Times New Roman" w:cs="Times New Roman"/>
          <w:sz w:val="24"/>
          <w:szCs w:val="24"/>
        </w:rPr>
        <w:t xml:space="preserve">sT3 </w:t>
      </w:r>
      <w:proofErr w:type="spellStart"/>
      <w:r w:rsidR="00E40FF5" w:rsidRPr="00CF4EDA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E40FF5" w:rsidRPr="00CF4EDA">
        <w:rPr>
          <w:rFonts w:ascii="Times New Roman" w:hAnsi="Times New Roman" w:cs="Times New Roman"/>
          <w:sz w:val="24"/>
          <w:szCs w:val="24"/>
        </w:rPr>
        <w:t xml:space="preserve"> sT4 </w:t>
      </w:r>
      <w:proofErr w:type="spellStart"/>
      <w:r w:rsidR="00E40FF5" w:rsidRPr="00CF4EDA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="00E40FF5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7854E3" w:rsidRPr="00CF4EDA">
        <w:rPr>
          <w:rFonts w:ascii="Times New Roman" w:hAnsi="Times New Roman" w:cs="Times New Roman"/>
          <w:sz w:val="24"/>
          <w:szCs w:val="24"/>
        </w:rPr>
        <w:t xml:space="preserve">(p=0.630, </w:t>
      </w:r>
      <w:r w:rsidR="00E40FF5" w:rsidRPr="00CF4EDA">
        <w:rPr>
          <w:rFonts w:ascii="Times New Roman" w:hAnsi="Times New Roman" w:cs="Times New Roman"/>
          <w:sz w:val="24"/>
          <w:szCs w:val="24"/>
        </w:rPr>
        <w:t xml:space="preserve">p=0.586), </w:t>
      </w:r>
      <w:r w:rsidR="00763CD9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NLR, PLR levels </w:t>
      </w:r>
      <w:r w:rsidR="007854E3" w:rsidRPr="00CF4EDA">
        <w:rPr>
          <w:rFonts w:ascii="Times New Roman" w:hAnsi="Times New Roman" w:cs="Times New Roman"/>
          <w:sz w:val="24"/>
          <w:szCs w:val="24"/>
        </w:rPr>
        <w:t>(p=0.937, p=0.702)</w:t>
      </w:r>
      <w:r w:rsidR="003D37A9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</w:t>
      </w:r>
      <w:proofErr w:type="spellStart"/>
      <w:r w:rsidR="003D37A9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>were</w:t>
      </w:r>
      <w:proofErr w:type="spellEnd"/>
      <w:r w:rsidR="003D37A9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not significantly different between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1FB" w:rsidRPr="00CF4EDA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="004041FB" w:rsidRPr="00CF4EDA">
        <w:rPr>
          <w:rFonts w:ascii="Times New Roman" w:hAnsi="Times New Roman" w:cs="Times New Roman"/>
          <w:sz w:val="24"/>
          <w:szCs w:val="24"/>
        </w:rPr>
        <w:t>.</w:t>
      </w:r>
    </w:p>
    <w:p w:rsidR="009B339D" w:rsidRPr="00CF4EDA" w:rsidRDefault="00404871" w:rsidP="003B6F8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F4EDA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CF4EDA">
        <w:rPr>
          <w:rFonts w:ascii="Times New Roman" w:hAnsi="Times New Roman" w:cs="Times New Roman"/>
          <w:sz w:val="24"/>
          <w:szCs w:val="24"/>
        </w:rPr>
        <w:t>:</w:t>
      </w:r>
      <w:r w:rsidR="00EE5B8A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2A0062" w:rsidRPr="002A0062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We </w:t>
      </w:r>
      <w:r w:rsidR="002A0062">
        <w:rPr>
          <w:rFonts w:ascii="Times New Roman" w:hAnsi="Times New Roman" w:cs="Times New Roman"/>
          <w:color w:val="222222"/>
          <w:sz w:val="24"/>
          <w:szCs w:val="24"/>
          <w:lang w:val="en"/>
        </w:rPr>
        <w:t>didn’t found no association with NLR and PLR ratio</w:t>
      </w:r>
      <w:r w:rsidR="002A0062" w:rsidRPr="002A0062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as an indicator of cardiovascular risk in patients with subclinical hyperthyroidism</w:t>
      </w:r>
      <w:r w:rsidR="00696E7C" w:rsidRPr="00CF4EDA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9356C0" w:rsidRPr="00CF4EDA">
        <w:rPr>
          <w:rFonts w:ascii="Times New Roman" w:hAnsi="Times New Roman" w:cs="Times New Roman"/>
          <w:sz w:val="24"/>
          <w:szCs w:val="24"/>
        </w:rPr>
        <w:t xml:space="preserve"> </w:t>
      </w:r>
      <w:r w:rsidR="00580725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Is the NLR and PLR ratio predictive in this patient group for </w:t>
      </w:r>
      <w:r w:rsidR="009356C0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>cardiovascular disease, and is</w:t>
      </w:r>
      <w:r w:rsidR="00580725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cardiovascular changes begin in case of subclinical hyperthyroidism? </w:t>
      </w:r>
      <w:proofErr w:type="gramStart"/>
      <w:r w:rsidR="00580725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>further</w:t>
      </w:r>
      <w:proofErr w:type="gramEnd"/>
      <w:r w:rsidR="00580725" w:rsidRPr="00CF4EDA">
        <w:rPr>
          <w:rFonts w:ascii="Times New Roman" w:hAnsi="Times New Roman" w:cs="Times New Roman"/>
          <w:color w:val="222222"/>
          <w:sz w:val="24"/>
          <w:szCs w:val="24"/>
          <w:lang w:val="en"/>
        </w:rPr>
        <w:t xml:space="preserve"> studies are needed.</w:t>
      </w:r>
    </w:p>
    <w:p w:rsidR="009B339D" w:rsidRPr="00CF4EDA" w:rsidRDefault="009B339D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D65D4C" w:rsidRPr="00CF4EDA" w:rsidRDefault="00D65D4C" w:rsidP="004A0FF7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D65D4C" w:rsidRPr="00CF4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A2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38A"/>
    <w:rsid w:val="00020113"/>
    <w:rsid w:val="00074ECB"/>
    <w:rsid w:val="000F7A34"/>
    <w:rsid w:val="001A32D6"/>
    <w:rsid w:val="001A738A"/>
    <w:rsid w:val="002327D5"/>
    <w:rsid w:val="002A0062"/>
    <w:rsid w:val="002D3EA9"/>
    <w:rsid w:val="003A3983"/>
    <w:rsid w:val="003B6F86"/>
    <w:rsid w:val="003D37A9"/>
    <w:rsid w:val="004041FB"/>
    <w:rsid w:val="00404871"/>
    <w:rsid w:val="00425F8D"/>
    <w:rsid w:val="004A0FF7"/>
    <w:rsid w:val="00555BBC"/>
    <w:rsid w:val="00580725"/>
    <w:rsid w:val="005A6714"/>
    <w:rsid w:val="00696E7C"/>
    <w:rsid w:val="00702D92"/>
    <w:rsid w:val="0071392D"/>
    <w:rsid w:val="00763CD9"/>
    <w:rsid w:val="007854E3"/>
    <w:rsid w:val="00925E73"/>
    <w:rsid w:val="009356C0"/>
    <w:rsid w:val="00963779"/>
    <w:rsid w:val="009B339D"/>
    <w:rsid w:val="00AE06CF"/>
    <w:rsid w:val="00B37FE5"/>
    <w:rsid w:val="00C05B4F"/>
    <w:rsid w:val="00C9321B"/>
    <w:rsid w:val="00CF4EDA"/>
    <w:rsid w:val="00D65D4C"/>
    <w:rsid w:val="00D85119"/>
    <w:rsid w:val="00DD4541"/>
    <w:rsid w:val="00E40FF5"/>
    <w:rsid w:val="00EE5B8A"/>
    <w:rsid w:val="00EF7921"/>
    <w:rsid w:val="00FA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4EA07A-FA9C-4B9C-A47A-88C3042C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963779"/>
    <w:pPr>
      <w:spacing w:after="0" w:line="240" w:lineRule="auto"/>
      <w:jc w:val="both"/>
    </w:pPr>
    <w:rPr>
      <w:rFonts w:ascii="Consolas" w:eastAsiaTheme="minorEastAsia" w:hAnsi="Consolas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963779"/>
    <w:rPr>
      <w:rFonts w:ascii="Consolas" w:eastAsiaTheme="minorEastAsia" w:hAnsi="Consolas"/>
      <w:sz w:val="20"/>
      <w:szCs w:val="20"/>
    </w:rPr>
  </w:style>
  <w:style w:type="table" w:styleId="TabloKlavuzu">
    <w:name w:val="Table Grid"/>
    <w:basedOn w:val="NormalTablo"/>
    <w:uiPriority w:val="39"/>
    <w:rsid w:val="00020113"/>
    <w:pPr>
      <w:spacing w:after="0" w:line="240" w:lineRule="auto"/>
      <w:jc w:val="both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4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89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704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72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392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476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219702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4306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80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8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14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26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156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8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6006741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686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044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9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8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86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543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102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795263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198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3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0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29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7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07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001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30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669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499465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50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4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9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1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8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15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52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4553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5528936">
                                          <w:marLeft w:val="0"/>
                                          <w:marRight w:val="0"/>
                                          <w:marTop w:val="0"/>
                                          <w:marBottom w:val="49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658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MUGE KESKİN</dc:creator>
  <cp:keywords/>
  <dc:description/>
  <cp:lastModifiedBy>MUGE KESKİN</cp:lastModifiedBy>
  <cp:revision>120</cp:revision>
  <dcterms:created xsi:type="dcterms:W3CDTF">2020-01-09T14:13:00Z</dcterms:created>
  <dcterms:modified xsi:type="dcterms:W3CDTF">2020-01-10T17:12:00Z</dcterms:modified>
</cp:coreProperties>
</file>