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663" w:rsidRPr="008E7663" w:rsidRDefault="008E7663" w:rsidP="008E7663">
      <w:pPr>
        <w:pStyle w:val="Heading1"/>
        <w:spacing w:before="240" w:after="240"/>
        <w:jc w:val="both"/>
        <w:rPr>
          <w:rFonts w:ascii="Times New Roman"/>
          <w:b w:val="0"/>
          <w:sz w:val="22"/>
          <w:szCs w:val="22"/>
        </w:rPr>
      </w:pPr>
      <w:r w:rsidRPr="008E7663">
        <w:rPr>
          <w:rFonts w:ascii="Times New Roman"/>
          <w:b w:val="0"/>
          <w:sz w:val="24"/>
          <w:szCs w:val="24"/>
        </w:rPr>
        <w:t xml:space="preserve">Evaluation of </w:t>
      </w:r>
      <w:proofErr w:type="spellStart"/>
      <w:r w:rsidRPr="008E7663">
        <w:rPr>
          <w:rFonts w:ascii="Times New Roman"/>
          <w:b w:val="0"/>
          <w:sz w:val="24"/>
          <w:szCs w:val="24"/>
        </w:rPr>
        <w:t>malondialdehyde</w:t>
      </w:r>
      <w:proofErr w:type="spellEnd"/>
      <w:r w:rsidRPr="008E7663">
        <w:rPr>
          <w:rFonts w:ascii="Times New Roman"/>
          <w:b w:val="0"/>
          <w:sz w:val="24"/>
          <w:szCs w:val="24"/>
        </w:rPr>
        <w:t xml:space="preserve"> concentrations and antioxidant status in dairy cows fed close-up en</w:t>
      </w:r>
      <w:r w:rsidRPr="008E7663">
        <w:rPr>
          <w:rFonts w:ascii="Times New Roman"/>
          <w:b w:val="0"/>
          <w:sz w:val="22"/>
          <w:szCs w:val="22"/>
        </w:rPr>
        <w:t>ergy density and rumen-protected lysine during the transition period</w:t>
      </w:r>
    </w:p>
    <w:p w:rsidR="008E7663" w:rsidRPr="008E7663" w:rsidRDefault="008E7663" w:rsidP="008E7663">
      <w:pPr>
        <w:spacing w:line="480" w:lineRule="auto"/>
        <w:rPr>
          <w:sz w:val="22"/>
          <w:szCs w:val="22"/>
          <w:vertAlign w:val="superscript"/>
        </w:rPr>
      </w:pPr>
      <w:r w:rsidRPr="008E7663">
        <w:rPr>
          <w:rFonts w:eastAsia="SimHei"/>
          <w:b/>
          <w:sz w:val="22"/>
          <w:szCs w:val="22"/>
        </w:rPr>
        <w:t>D. D. Girma</w:t>
      </w:r>
      <w:r w:rsidRPr="008E7663">
        <w:rPr>
          <w:sz w:val="22"/>
          <w:szCs w:val="22"/>
          <w:vertAlign w:val="superscript"/>
        </w:rPr>
        <w:t>1</w:t>
      </w:r>
      <w:r w:rsidRPr="008E7663">
        <w:rPr>
          <w:rFonts w:eastAsia="Times New Roman"/>
          <w:b/>
          <w:sz w:val="22"/>
          <w:szCs w:val="22"/>
        </w:rPr>
        <w:t>, L. Ma</w:t>
      </w:r>
      <w:r w:rsidRPr="008E7663">
        <w:rPr>
          <w:sz w:val="22"/>
          <w:szCs w:val="22"/>
          <w:vertAlign w:val="superscript"/>
        </w:rPr>
        <w:t>2</w:t>
      </w:r>
      <w:r w:rsidRPr="008E7663">
        <w:rPr>
          <w:rFonts w:eastAsia="Times New Roman"/>
          <w:b/>
          <w:sz w:val="22"/>
          <w:szCs w:val="22"/>
        </w:rPr>
        <w:t>, F. Wang</w:t>
      </w:r>
      <w:r w:rsidRPr="008E7663">
        <w:rPr>
          <w:sz w:val="22"/>
          <w:szCs w:val="22"/>
        </w:rPr>
        <w:t>2</w:t>
      </w:r>
      <w:r w:rsidRPr="008E7663">
        <w:rPr>
          <w:rFonts w:eastAsia="Times New Roman"/>
          <w:b/>
          <w:sz w:val="22"/>
          <w:szCs w:val="22"/>
        </w:rPr>
        <w:t>, T. R. Callaway</w:t>
      </w:r>
      <w:r w:rsidRPr="008E7663">
        <w:rPr>
          <w:sz w:val="22"/>
          <w:szCs w:val="22"/>
          <w:vertAlign w:val="superscript"/>
        </w:rPr>
        <w:t>3</w:t>
      </w:r>
      <w:r w:rsidRPr="008E7663">
        <w:rPr>
          <w:rFonts w:eastAsia="Times New Roman"/>
          <w:b/>
          <w:sz w:val="22"/>
          <w:szCs w:val="22"/>
        </w:rPr>
        <w:t xml:space="preserve">, and D. P. Bu </w:t>
      </w:r>
      <w:r w:rsidRPr="008E7663">
        <w:rPr>
          <w:sz w:val="22"/>
          <w:szCs w:val="22"/>
          <w:vertAlign w:val="superscript"/>
        </w:rPr>
        <w:t>2</w:t>
      </w:r>
      <w:proofErr w:type="gramStart"/>
      <w:r w:rsidRPr="008E7663">
        <w:rPr>
          <w:sz w:val="22"/>
          <w:szCs w:val="22"/>
          <w:vertAlign w:val="superscript"/>
        </w:rPr>
        <w:t>,4,5</w:t>
      </w:r>
      <w:proofErr w:type="gramEnd"/>
    </w:p>
    <w:p w:rsidR="008E7663" w:rsidRDefault="008E7663" w:rsidP="008E7663">
      <w:pPr>
        <w:spacing w:line="480" w:lineRule="auto"/>
        <w:rPr>
          <w:sz w:val="22"/>
          <w:szCs w:val="22"/>
        </w:rPr>
      </w:pPr>
      <w:r w:rsidRPr="008E7663">
        <w:rPr>
          <w:sz w:val="22"/>
          <w:szCs w:val="22"/>
          <w:vertAlign w:val="superscript"/>
        </w:rPr>
        <w:t>1</w:t>
      </w:r>
      <w:r w:rsidRPr="008E7663">
        <w:rPr>
          <w:sz w:val="22"/>
          <w:szCs w:val="22"/>
        </w:rPr>
        <w:t xml:space="preserve">Oromia Agricultural Research Institute, </w:t>
      </w:r>
      <w:proofErr w:type="spellStart"/>
      <w:r w:rsidRPr="008E7663">
        <w:rPr>
          <w:sz w:val="22"/>
          <w:szCs w:val="22"/>
        </w:rPr>
        <w:t>Adami</w:t>
      </w:r>
      <w:proofErr w:type="spellEnd"/>
      <w:r w:rsidRPr="008E7663">
        <w:rPr>
          <w:sz w:val="22"/>
          <w:szCs w:val="22"/>
        </w:rPr>
        <w:t xml:space="preserve"> Tulu Agricultural Research Center, </w:t>
      </w:r>
      <w:proofErr w:type="spellStart"/>
      <w:proofErr w:type="gramStart"/>
      <w:r w:rsidRPr="008E7663">
        <w:rPr>
          <w:sz w:val="22"/>
          <w:szCs w:val="22"/>
        </w:rPr>
        <w:t>P.O.Box</w:t>
      </w:r>
      <w:proofErr w:type="spellEnd"/>
      <w:r w:rsidRPr="008E766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35</w:t>
      </w:r>
      <w:proofErr w:type="gram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Zeway</w:t>
      </w:r>
      <w:proofErr w:type="spellEnd"/>
    </w:p>
    <w:p w:rsidR="008E7663" w:rsidRPr="008E7663" w:rsidRDefault="008E7663" w:rsidP="008E7663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8E7663">
        <w:rPr>
          <w:sz w:val="22"/>
          <w:szCs w:val="22"/>
        </w:rPr>
        <w:t>Ethiopia</w:t>
      </w:r>
    </w:p>
    <w:p w:rsidR="008E7663" w:rsidRPr="008E7663" w:rsidRDefault="008E7663" w:rsidP="008E7663">
      <w:pPr>
        <w:spacing w:line="276" w:lineRule="auto"/>
        <w:rPr>
          <w:rFonts w:eastAsia="Times New Roman"/>
          <w:sz w:val="22"/>
          <w:szCs w:val="22"/>
        </w:rPr>
      </w:pPr>
      <w:r w:rsidRPr="008E7663">
        <w:rPr>
          <w:sz w:val="22"/>
          <w:szCs w:val="22"/>
          <w:vertAlign w:val="superscript"/>
        </w:rPr>
        <w:t>2</w:t>
      </w:r>
      <w:r w:rsidRPr="008E7663">
        <w:rPr>
          <w:rFonts w:eastAsia="Times New Roman"/>
          <w:sz w:val="22"/>
          <w:szCs w:val="22"/>
        </w:rPr>
        <w:t xml:space="preserve">State Key Laboratory of Animal Nutrition, Institute of Animal Science, Chinese Academy of </w:t>
      </w:r>
    </w:p>
    <w:p w:rsidR="008E7663" w:rsidRPr="008E7663" w:rsidRDefault="008E7663" w:rsidP="008E7663">
      <w:pPr>
        <w:spacing w:line="276" w:lineRule="auto"/>
        <w:rPr>
          <w:rFonts w:eastAsia="Times New Roman"/>
          <w:sz w:val="22"/>
          <w:szCs w:val="22"/>
        </w:rPr>
      </w:pPr>
      <w:r w:rsidRPr="008E7663">
        <w:rPr>
          <w:rFonts w:eastAsia="Times New Roman"/>
          <w:sz w:val="22"/>
          <w:szCs w:val="22"/>
        </w:rPr>
        <w:t xml:space="preserve">    Agricultural Sciences, Beijing, 100193, P.R. China</w:t>
      </w:r>
    </w:p>
    <w:p w:rsidR="008E7663" w:rsidRPr="008E7663" w:rsidRDefault="008E7663" w:rsidP="008E7663">
      <w:pPr>
        <w:spacing w:line="276" w:lineRule="auto"/>
        <w:ind w:right="-374"/>
        <w:rPr>
          <w:rFonts w:eastAsia="Times New Roman"/>
          <w:sz w:val="22"/>
          <w:szCs w:val="22"/>
        </w:rPr>
      </w:pPr>
      <w:r w:rsidRPr="008E7663">
        <w:rPr>
          <w:sz w:val="22"/>
          <w:szCs w:val="22"/>
          <w:vertAlign w:val="superscript"/>
        </w:rPr>
        <w:t>3</w:t>
      </w:r>
      <w:r w:rsidRPr="008E7663">
        <w:rPr>
          <w:rFonts w:eastAsia="Times New Roman"/>
          <w:sz w:val="22"/>
          <w:szCs w:val="22"/>
        </w:rPr>
        <w:t>Department of Animal and Dairy Science, University of Georgia, Athens, GA  30602-2771</w:t>
      </w:r>
    </w:p>
    <w:p w:rsidR="008E7663" w:rsidRPr="008E7663" w:rsidRDefault="008E7663" w:rsidP="008E7663">
      <w:pPr>
        <w:spacing w:line="276" w:lineRule="auto"/>
        <w:ind w:right="-374"/>
        <w:rPr>
          <w:rFonts w:eastAsia="Times New Roman"/>
          <w:sz w:val="22"/>
          <w:szCs w:val="22"/>
        </w:rPr>
      </w:pPr>
      <w:r w:rsidRPr="008E7663">
        <w:rPr>
          <w:rFonts w:eastAsia="Times New Roman"/>
          <w:sz w:val="22"/>
          <w:szCs w:val="22"/>
          <w:vertAlign w:val="superscript"/>
        </w:rPr>
        <w:t>4</w:t>
      </w:r>
      <w:r w:rsidRPr="008E7663">
        <w:rPr>
          <w:rFonts w:eastAsia="Times New Roman"/>
          <w:sz w:val="22"/>
          <w:szCs w:val="22"/>
        </w:rPr>
        <w:t>CAAS-ICRAF Joint Lab on Agro forestry and Sustainable Animal Husbandry, World Agro forestry Centre, East and Central Asia, Beijing, China</w:t>
      </w:r>
    </w:p>
    <w:p w:rsidR="008E7663" w:rsidRPr="008E7663" w:rsidRDefault="008E7663" w:rsidP="008E7663">
      <w:pPr>
        <w:spacing w:line="276" w:lineRule="auto"/>
        <w:rPr>
          <w:sz w:val="22"/>
          <w:szCs w:val="22"/>
        </w:rPr>
      </w:pPr>
      <w:r w:rsidRPr="008E7663">
        <w:rPr>
          <w:b/>
          <w:sz w:val="22"/>
          <w:szCs w:val="22"/>
          <w:vertAlign w:val="superscript"/>
        </w:rPr>
        <w:t>5</w:t>
      </w:r>
      <w:r w:rsidRPr="008E7663">
        <w:rPr>
          <w:rFonts w:eastAsia="Times New Roman"/>
          <w:sz w:val="22"/>
          <w:szCs w:val="22"/>
        </w:rPr>
        <w:t>Hunan Co-Innovation Center of Safety Animal Production, Changsha, Hunan, China</w:t>
      </w:r>
    </w:p>
    <w:p w:rsidR="008E7663" w:rsidRPr="008E7663" w:rsidRDefault="008E7663" w:rsidP="008E7663">
      <w:pPr>
        <w:spacing w:line="360" w:lineRule="auto"/>
        <w:rPr>
          <w:b/>
          <w:sz w:val="22"/>
          <w:szCs w:val="22"/>
        </w:rPr>
      </w:pPr>
      <w:r w:rsidRPr="008E7663">
        <w:rPr>
          <w:b/>
          <w:sz w:val="22"/>
          <w:szCs w:val="22"/>
        </w:rPr>
        <w:t>Abstract</w:t>
      </w:r>
    </w:p>
    <w:p w:rsidR="008E7663" w:rsidRPr="008E7663" w:rsidRDefault="008E7663" w:rsidP="008E7663">
      <w:pPr>
        <w:spacing w:line="276" w:lineRule="auto"/>
        <w:ind w:firstLine="720"/>
        <w:rPr>
          <w:sz w:val="22"/>
        </w:rPr>
      </w:pPr>
      <w:r w:rsidRPr="008E7663">
        <w:rPr>
          <w:rFonts w:eastAsia="Times New Roman"/>
          <w:sz w:val="22"/>
        </w:rPr>
        <w:t>The objective of the study was to investigate the effects dietary energy levels (High NE</w:t>
      </w:r>
      <w:r w:rsidRPr="008E7663">
        <w:rPr>
          <w:rFonts w:eastAsia="Times New Roman"/>
          <w:sz w:val="22"/>
          <w:vertAlign w:val="subscript"/>
        </w:rPr>
        <w:t xml:space="preserve">L </w:t>
      </w:r>
      <w:r w:rsidRPr="008E7663">
        <w:rPr>
          <w:rFonts w:eastAsia="Times New Roman"/>
          <w:sz w:val="22"/>
        </w:rPr>
        <w:t xml:space="preserve">= 1.53Mcal/kg DM </w:t>
      </w:r>
      <w:proofErr w:type="spellStart"/>
      <w:r w:rsidRPr="008E7663">
        <w:rPr>
          <w:rFonts w:eastAsia="Times New Roman"/>
          <w:sz w:val="22"/>
        </w:rPr>
        <w:t>vs</w:t>
      </w:r>
      <w:proofErr w:type="spellEnd"/>
      <w:r w:rsidRPr="008E7663">
        <w:rPr>
          <w:rFonts w:eastAsia="Times New Roman"/>
          <w:sz w:val="22"/>
        </w:rPr>
        <w:t xml:space="preserve"> Low NE</w:t>
      </w:r>
      <w:r w:rsidRPr="008E7663">
        <w:rPr>
          <w:rFonts w:eastAsia="Times New Roman"/>
          <w:sz w:val="22"/>
          <w:vertAlign w:val="subscript"/>
        </w:rPr>
        <w:t xml:space="preserve">L </w:t>
      </w:r>
      <w:r w:rsidRPr="008E7663">
        <w:rPr>
          <w:rFonts w:eastAsia="Times New Roman"/>
          <w:sz w:val="22"/>
        </w:rPr>
        <w:t xml:space="preserve">= 1.37Mcal/kg DM, HE </w:t>
      </w:r>
      <w:proofErr w:type="spellStart"/>
      <w:r w:rsidRPr="008E7663">
        <w:rPr>
          <w:rFonts w:eastAsia="Times New Roman"/>
          <w:sz w:val="22"/>
        </w:rPr>
        <w:t>vs</w:t>
      </w:r>
      <w:proofErr w:type="spellEnd"/>
      <w:r w:rsidRPr="008E7663">
        <w:rPr>
          <w:rFonts w:eastAsia="Times New Roman"/>
          <w:sz w:val="22"/>
        </w:rPr>
        <w:t xml:space="preserve"> LE) fed either with rumen-protected lysine 40 g/cow per day, bypass lysine (</w:t>
      </w:r>
      <w:proofErr w:type="spellStart"/>
      <w:r w:rsidRPr="008E7663">
        <w:rPr>
          <w:rFonts w:eastAsia="Times New Roman"/>
          <w:sz w:val="22"/>
        </w:rPr>
        <w:t>Blys</w:t>
      </w:r>
      <w:proofErr w:type="spellEnd"/>
      <w:r w:rsidRPr="008E7663">
        <w:rPr>
          <w:rFonts w:eastAsia="Times New Roman"/>
          <w:sz w:val="22"/>
        </w:rPr>
        <w:t xml:space="preserve">), or without rumen-protected lysine (control, CK) </w:t>
      </w:r>
      <w:r w:rsidRPr="008E7663">
        <w:rPr>
          <w:sz w:val="22"/>
        </w:rPr>
        <w:t xml:space="preserve">on </w:t>
      </w:r>
      <w:proofErr w:type="spellStart"/>
      <w:r w:rsidRPr="008E7663">
        <w:rPr>
          <w:sz w:val="22"/>
        </w:rPr>
        <w:t>malondialdehyde</w:t>
      </w:r>
      <w:proofErr w:type="spellEnd"/>
      <w:r w:rsidRPr="008E7663">
        <w:rPr>
          <w:sz w:val="22"/>
        </w:rPr>
        <w:t xml:space="preserve"> concentrations, glutathione </w:t>
      </w:r>
      <w:proofErr w:type="spellStart"/>
      <w:r w:rsidRPr="008E7663">
        <w:rPr>
          <w:sz w:val="22"/>
        </w:rPr>
        <w:t>peroxidase</w:t>
      </w:r>
      <w:proofErr w:type="spellEnd"/>
      <w:r w:rsidRPr="008E7663">
        <w:rPr>
          <w:sz w:val="22"/>
        </w:rPr>
        <w:t xml:space="preserve"> and superoxide dismutase activities, and total anti</w:t>
      </w:r>
      <w:r w:rsidR="003F3B9F">
        <w:rPr>
          <w:sz w:val="22"/>
        </w:rPr>
        <w:t xml:space="preserve"> </w:t>
      </w:r>
      <w:r w:rsidRPr="008E7663">
        <w:rPr>
          <w:sz w:val="22"/>
        </w:rPr>
        <w:t>oxidative capacity in blood serum of cows during the transition period. Sixty-eight 3</w:t>
      </w:r>
      <w:r w:rsidRPr="008E7663">
        <w:rPr>
          <w:sz w:val="22"/>
          <w:vertAlign w:val="superscript"/>
        </w:rPr>
        <w:t>rd</w:t>
      </w:r>
      <w:r w:rsidRPr="008E7663">
        <w:rPr>
          <w:sz w:val="22"/>
        </w:rPr>
        <w:t xml:space="preserve"> lactation Holstein cows entering their 4</w:t>
      </w:r>
      <w:r w:rsidRPr="008E7663">
        <w:rPr>
          <w:sz w:val="22"/>
          <w:vertAlign w:val="superscript"/>
        </w:rPr>
        <w:t>th</w:t>
      </w:r>
      <w:r w:rsidRPr="008E7663">
        <w:rPr>
          <w:sz w:val="22"/>
        </w:rPr>
        <w:t xml:space="preserve"> lactations were randomly allocated to one of the four dietary treatments (n =17 each) arranged in a 2×2 factorial design with two dietary energy levels LE or HE fed with or without rumen-protected lysine (</w:t>
      </w:r>
      <w:proofErr w:type="spellStart"/>
      <w:r w:rsidRPr="008E7663">
        <w:rPr>
          <w:sz w:val="22"/>
        </w:rPr>
        <w:t>Ascor</w:t>
      </w:r>
      <w:proofErr w:type="spellEnd"/>
      <w:r w:rsidRPr="008E7663">
        <w:rPr>
          <w:sz w:val="22"/>
        </w:rPr>
        <w:t xml:space="preserve"> </w:t>
      </w:r>
      <w:proofErr w:type="spellStart"/>
      <w:r w:rsidRPr="008E7663">
        <w:rPr>
          <w:sz w:val="22"/>
        </w:rPr>
        <w:t>CimiciSrl</w:t>
      </w:r>
      <w:proofErr w:type="spellEnd"/>
      <w:r w:rsidRPr="008E7663">
        <w:rPr>
          <w:sz w:val="22"/>
        </w:rPr>
        <w:t xml:space="preserve"> Beijing, China) </w:t>
      </w:r>
      <w:proofErr w:type="spellStart"/>
      <w:r w:rsidRPr="008E7663">
        <w:rPr>
          <w:sz w:val="22"/>
        </w:rPr>
        <w:t>BLys</w:t>
      </w:r>
      <w:proofErr w:type="spellEnd"/>
      <w:r w:rsidRPr="008E7663">
        <w:rPr>
          <w:sz w:val="22"/>
        </w:rPr>
        <w:t xml:space="preserve">, and CK). Prior to switch to dietary treatment groups, all cows were fed the same diet (1.34Mcal/kg DM) during the dry period. Rumen-protected lysine was top dressed on total mixed ration using 50 g corn powder as a carrier from 3 weeks before to 3 weeks after calving. After calving, all cows have received the same lactation diet (1.69MCal/kg DM). Blood samples were collected on the d -21, -14, -7, 0, 7, 14 and 21 relative to calving. Serums were separated and </w:t>
      </w:r>
      <w:proofErr w:type="spellStart"/>
      <w:r w:rsidRPr="008E7663">
        <w:rPr>
          <w:sz w:val="22"/>
        </w:rPr>
        <w:t>malondialdehyde</w:t>
      </w:r>
      <w:proofErr w:type="spellEnd"/>
      <w:r w:rsidRPr="008E7663">
        <w:rPr>
          <w:sz w:val="22"/>
        </w:rPr>
        <w:t xml:space="preserve"> (MDA) concentrations, glutathione </w:t>
      </w:r>
      <w:proofErr w:type="spellStart"/>
      <w:r w:rsidRPr="008E7663">
        <w:rPr>
          <w:sz w:val="22"/>
        </w:rPr>
        <w:t>peroxidase</w:t>
      </w:r>
      <w:proofErr w:type="spellEnd"/>
      <w:r w:rsidRPr="008E7663">
        <w:rPr>
          <w:sz w:val="22"/>
        </w:rPr>
        <w:t xml:space="preserve"> (GSH-P) activity, superoxide dismutase (SOD) activity, and total anti</w:t>
      </w:r>
      <w:r w:rsidR="003F3B9F">
        <w:rPr>
          <w:sz w:val="22"/>
        </w:rPr>
        <w:t xml:space="preserve"> </w:t>
      </w:r>
      <w:r w:rsidRPr="008E7663">
        <w:rPr>
          <w:sz w:val="22"/>
        </w:rPr>
        <w:t>oxidative capacity (T-AOC) in blood serum were analyzed using assay kits. Close-up high energy diet significantly increased GSH-PX activity (</w:t>
      </w:r>
      <w:r w:rsidRPr="008E7663">
        <w:rPr>
          <w:i/>
          <w:sz w:val="22"/>
        </w:rPr>
        <w:t>P</w:t>
      </w:r>
      <w:r w:rsidRPr="008E7663">
        <w:rPr>
          <w:sz w:val="22"/>
        </w:rPr>
        <w:t xml:space="preserve"> = 0.0.008) and reduced the concentrations of MDA in </w:t>
      </w:r>
      <w:proofErr w:type="spellStart"/>
      <w:r w:rsidRPr="008E7663">
        <w:rPr>
          <w:sz w:val="22"/>
        </w:rPr>
        <w:t>prepartum</w:t>
      </w:r>
      <w:proofErr w:type="spellEnd"/>
      <w:r w:rsidRPr="008E7663">
        <w:rPr>
          <w:sz w:val="22"/>
        </w:rPr>
        <w:t xml:space="preserve"> cows (</w:t>
      </w:r>
      <w:r w:rsidRPr="008E7663">
        <w:rPr>
          <w:i/>
          <w:sz w:val="22"/>
        </w:rPr>
        <w:t>P</w:t>
      </w:r>
      <w:r w:rsidRPr="008E7663">
        <w:rPr>
          <w:sz w:val="22"/>
        </w:rPr>
        <w:t xml:space="preserve"> &lt; 0.01). However, close-up high energy diet did not impact MDA levels, SOD activity and T-AOC in postpartum cows. But rumen-protected lysine significantly reduced MDA levels (</w:t>
      </w:r>
      <w:r w:rsidRPr="008E7663">
        <w:rPr>
          <w:i/>
          <w:sz w:val="22"/>
        </w:rPr>
        <w:t>P</w:t>
      </w:r>
      <w:r w:rsidRPr="008E7663">
        <w:rPr>
          <w:sz w:val="22"/>
        </w:rPr>
        <w:t xml:space="preserve"> &lt; 0.01), and increased T-AOC in postpartum cows (</w:t>
      </w:r>
      <w:r w:rsidRPr="008E7663">
        <w:rPr>
          <w:i/>
          <w:sz w:val="22"/>
        </w:rPr>
        <w:t>P</w:t>
      </w:r>
      <w:r w:rsidRPr="008E7663">
        <w:rPr>
          <w:sz w:val="22"/>
        </w:rPr>
        <w:t xml:space="preserve"> = 0.003), lowered MDA levels, tended to increase serum GSH-</w:t>
      </w:r>
      <w:proofErr w:type="spellStart"/>
      <w:r w:rsidRPr="008E7663">
        <w:rPr>
          <w:sz w:val="22"/>
        </w:rPr>
        <w:t>Px</w:t>
      </w:r>
      <w:proofErr w:type="spellEnd"/>
      <w:r w:rsidRPr="008E7663">
        <w:rPr>
          <w:sz w:val="22"/>
        </w:rPr>
        <w:t xml:space="preserve"> activity in the pre</w:t>
      </w:r>
      <w:r w:rsidR="003F3B9F">
        <w:rPr>
          <w:sz w:val="22"/>
        </w:rPr>
        <w:t>-</w:t>
      </w:r>
      <w:r w:rsidRPr="008E7663">
        <w:rPr>
          <w:sz w:val="22"/>
        </w:rPr>
        <w:t>partum cows. Interaction of close-up high energy and rumen-protected lysine affected serum SOD activity in pre</w:t>
      </w:r>
      <w:r w:rsidR="003F3B9F">
        <w:rPr>
          <w:sz w:val="22"/>
        </w:rPr>
        <w:t>-</w:t>
      </w:r>
      <w:r w:rsidRPr="008E7663">
        <w:rPr>
          <w:sz w:val="22"/>
        </w:rPr>
        <w:t>partum cows (</w:t>
      </w:r>
      <w:r w:rsidRPr="008E7663">
        <w:rPr>
          <w:i/>
          <w:sz w:val="22"/>
        </w:rPr>
        <w:t>P</w:t>
      </w:r>
      <w:r w:rsidRPr="008E7663">
        <w:rPr>
          <w:sz w:val="22"/>
        </w:rPr>
        <w:t xml:space="preserve"> &lt; 0.01), and tended to lower MDA concentrations in postpartum cows. The results revealed that close-up high energy diet, rumen-protected lysine, and their interaction substantially improve the antioxidant system and lowered MDA concentrations in dairy cows during the transition period.</w:t>
      </w:r>
    </w:p>
    <w:p w:rsidR="00705E78" w:rsidRPr="008E7663" w:rsidRDefault="008E7663" w:rsidP="008E7663">
      <w:pPr>
        <w:spacing w:line="276" w:lineRule="auto"/>
        <w:rPr>
          <w:sz w:val="22"/>
        </w:rPr>
      </w:pPr>
      <w:r w:rsidRPr="008E7663">
        <w:rPr>
          <w:rFonts w:eastAsia="Times New Roman"/>
          <w:sz w:val="22"/>
        </w:rPr>
        <w:t>Keywords:</w:t>
      </w:r>
      <w:r w:rsidRPr="008E7663">
        <w:rPr>
          <w:sz w:val="22"/>
        </w:rPr>
        <w:t xml:space="preserve"> </w:t>
      </w:r>
      <w:proofErr w:type="spellStart"/>
      <w:r w:rsidRPr="008E7663">
        <w:rPr>
          <w:sz w:val="22"/>
        </w:rPr>
        <w:t>malondialdehyde</w:t>
      </w:r>
      <w:proofErr w:type="spellEnd"/>
      <w:r w:rsidRPr="008E7663">
        <w:rPr>
          <w:rFonts w:eastAsia="Times New Roman"/>
          <w:sz w:val="22"/>
        </w:rPr>
        <w:t xml:space="preserve">, </w:t>
      </w:r>
      <w:r w:rsidRPr="008E7663">
        <w:rPr>
          <w:sz w:val="22"/>
        </w:rPr>
        <w:t>total anti</w:t>
      </w:r>
      <w:r w:rsidR="003F3B9F">
        <w:rPr>
          <w:sz w:val="22"/>
        </w:rPr>
        <w:t xml:space="preserve"> </w:t>
      </w:r>
      <w:r w:rsidRPr="008E7663">
        <w:rPr>
          <w:sz w:val="22"/>
        </w:rPr>
        <w:t xml:space="preserve">oxidative capability, </w:t>
      </w:r>
      <w:r w:rsidRPr="008E7663">
        <w:rPr>
          <w:rFonts w:eastAsia="Times New Roman"/>
          <w:sz w:val="22"/>
        </w:rPr>
        <w:t>rumen-protected lysine, transition cows</w:t>
      </w:r>
    </w:p>
    <w:sectPr w:rsidR="00705E78" w:rsidRPr="008E7663" w:rsidSect="00705E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E7663"/>
    <w:rsid w:val="003F3B9F"/>
    <w:rsid w:val="00705E78"/>
    <w:rsid w:val="008E7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663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8E7663"/>
    <w:pPr>
      <w:keepNext/>
      <w:tabs>
        <w:tab w:val="left" w:pos="360"/>
      </w:tabs>
      <w:spacing w:beforeLines="100" w:afterLines="100"/>
      <w:jc w:val="center"/>
      <w:outlineLvl w:val="0"/>
    </w:pPr>
    <w:rPr>
      <w:rFonts w:ascii="SimHei" w:eastAsia="SimHei"/>
      <w:b/>
      <w:bCs/>
      <w:kern w:val="1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E7663"/>
    <w:rPr>
      <w:rFonts w:ascii="SimHei" w:eastAsia="SimHei" w:hAnsi="Times New Roman" w:cs="Times New Roman"/>
      <w:b/>
      <w:bCs/>
      <w:kern w:val="10"/>
      <w:sz w:val="32"/>
      <w:szCs w:val="3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2020-02-10T13:08:00Z</dcterms:created>
  <dcterms:modified xsi:type="dcterms:W3CDTF">2020-02-10T13:14:00Z</dcterms:modified>
</cp:coreProperties>
</file>