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339" w:rsidRDefault="003D77AA" w:rsidP="00011903">
      <w:pPr>
        <w:jc w:val="both"/>
        <w:rPr>
          <w:b/>
          <w:bCs/>
        </w:rPr>
      </w:pPr>
      <w:bookmarkStart w:id="0" w:name="_GoBack"/>
      <w:bookmarkEnd w:id="0"/>
      <w:r w:rsidRPr="003D77AA">
        <w:rPr>
          <w:b/>
          <w:bCs/>
        </w:rPr>
        <w:t xml:space="preserve">Title: </w:t>
      </w:r>
      <w:r w:rsidR="00C62C33" w:rsidRPr="00C62C33">
        <w:rPr>
          <w:b/>
          <w:bCs/>
        </w:rPr>
        <w:t xml:space="preserve">PD-1 and Tim-3 blocking </w:t>
      </w:r>
      <w:r w:rsidR="00011903">
        <w:rPr>
          <w:b/>
          <w:bCs/>
        </w:rPr>
        <w:t>dose not</w:t>
      </w:r>
      <w:r w:rsidR="00C62C33" w:rsidRPr="00C62C33">
        <w:rPr>
          <w:b/>
          <w:bCs/>
        </w:rPr>
        <w:t xml:space="preserve"> improve the apoptosis of leukemic cells by peripheral blood CD8+ T cells in chronic lymphocytic leukemia</w:t>
      </w:r>
    </w:p>
    <w:p w:rsidR="00C62C33" w:rsidRPr="00C62C33" w:rsidRDefault="00C62C33" w:rsidP="002E79CF">
      <w:pPr>
        <w:spacing w:line="360" w:lineRule="auto"/>
        <w:jc w:val="both"/>
        <w:rPr>
          <w:sz w:val="24"/>
          <w:szCs w:val="24"/>
        </w:rPr>
      </w:pPr>
      <w:r w:rsidRPr="00C62C33">
        <w:rPr>
          <w:sz w:val="24"/>
          <w:szCs w:val="24"/>
        </w:rPr>
        <w:t>Shakiba Jafarkhani</w:t>
      </w:r>
      <w:r w:rsidRPr="00C62C33">
        <w:rPr>
          <w:sz w:val="24"/>
          <w:szCs w:val="24"/>
          <w:vertAlign w:val="superscript"/>
        </w:rPr>
        <w:t>1</w:t>
      </w:r>
      <w:r w:rsidRPr="00C62C33">
        <w:rPr>
          <w:sz w:val="24"/>
          <w:szCs w:val="24"/>
        </w:rPr>
        <w:t xml:space="preserve">, </w:t>
      </w:r>
      <w:r>
        <w:rPr>
          <w:sz w:val="24"/>
          <w:szCs w:val="24"/>
        </w:rPr>
        <w:t>Abolghasem Ajami</w:t>
      </w:r>
      <w:r w:rsidRPr="00C62C33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, </w:t>
      </w:r>
      <w:r w:rsidRPr="00C62C33">
        <w:rPr>
          <w:sz w:val="24"/>
          <w:szCs w:val="24"/>
        </w:rPr>
        <w:t>Hadi Hossein-Nataj</w:t>
      </w:r>
      <w:r w:rsidRPr="00C62C33">
        <w:rPr>
          <w:sz w:val="24"/>
          <w:szCs w:val="24"/>
          <w:vertAlign w:val="superscript"/>
        </w:rPr>
        <w:t>1</w:t>
      </w:r>
      <w:r w:rsidRPr="00C62C33">
        <w:rPr>
          <w:sz w:val="24"/>
          <w:szCs w:val="24"/>
        </w:rPr>
        <w:t>, Mohammad Eslami-Jouybari</w:t>
      </w:r>
      <w:r w:rsidRPr="00C62C33">
        <w:rPr>
          <w:sz w:val="24"/>
          <w:szCs w:val="24"/>
          <w:vertAlign w:val="superscript"/>
        </w:rPr>
        <w:t>2,3</w:t>
      </w:r>
      <w:r w:rsidRPr="00C62C33">
        <w:rPr>
          <w:sz w:val="24"/>
          <w:szCs w:val="24"/>
        </w:rPr>
        <w:t>, Maryam Ghoreishi</w:t>
      </w:r>
      <w:r w:rsidRPr="00C62C33">
        <w:rPr>
          <w:sz w:val="24"/>
          <w:szCs w:val="24"/>
          <w:vertAlign w:val="superscript"/>
        </w:rPr>
        <w:t>2,3</w:t>
      </w:r>
      <w:r w:rsidRPr="00C62C33">
        <w:rPr>
          <w:sz w:val="24"/>
          <w:szCs w:val="24"/>
        </w:rPr>
        <w:t>, Hossein Asgarian-Omran</w:t>
      </w:r>
      <w:r w:rsidRPr="00C62C33">
        <w:rPr>
          <w:sz w:val="24"/>
          <w:szCs w:val="24"/>
          <w:vertAlign w:val="superscript"/>
        </w:rPr>
        <w:t>1, 2, 4</w:t>
      </w:r>
      <w:r w:rsidRPr="00C62C33">
        <w:rPr>
          <w:sz w:val="24"/>
          <w:szCs w:val="24"/>
        </w:rPr>
        <w:t xml:space="preserve"> *</w:t>
      </w:r>
    </w:p>
    <w:p w:rsidR="00C62C33" w:rsidRPr="00C62C33" w:rsidRDefault="00C62C33" w:rsidP="00C62C33">
      <w:pPr>
        <w:spacing w:line="240" w:lineRule="auto"/>
        <w:jc w:val="both"/>
        <w:rPr>
          <w:sz w:val="20"/>
          <w:szCs w:val="20"/>
        </w:rPr>
      </w:pPr>
      <w:r w:rsidRPr="00C62C33">
        <w:rPr>
          <w:sz w:val="20"/>
          <w:szCs w:val="20"/>
        </w:rPr>
        <w:t>1. Department of Immunology, School of Medicine, Mazandaran University of Medical Sciences, Sari, Iran</w:t>
      </w:r>
    </w:p>
    <w:p w:rsidR="00C62C33" w:rsidRPr="00C62C33" w:rsidRDefault="00C62C33" w:rsidP="002E79CF">
      <w:pPr>
        <w:spacing w:line="240" w:lineRule="auto"/>
        <w:jc w:val="both"/>
        <w:rPr>
          <w:sz w:val="20"/>
          <w:szCs w:val="20"/>
        </w:rPr>
      </w:pPr>
      <w:r w:rsidRPr="00C62C33">
        <w:rPr>
          <w:sz w:val="20"/>
          <w:szCs w:val="20"/>
        </w:rPr>
        <w:t xml:space="preserve">2. </w:t>
      </w:r>
      <w:r w:rsidR="002E79CF" w:rsidRPr="002E79CF">
        <w:rPr>
          <w:sz w:val="20"/>
          <w:szCs w:val="20"/>
        </w:rPr>
        <w:t>Gastrointestinal Cancer Research Center, Non-Communicable Diseases Institute, Mazandaran University of Medical Sciences, Sari, Iran</w:t>
      </w:r>
    </w:p>
    <w:p w:rsidR="00C62C33" w:rsidRPr="00C62C33" w:rsidRDefault="00C62C33" w:rsidP="00C62C33">
      <w:pPr>
        <w:spacing w:line="240" w:lineRule="auto"/>
        <w:jc w:val="both"/>
        <w:rPr>
          <w:sz w:val="20"/>
          <w:szCs w:val="20"/>
        </w:rPr>
      </w:pPr>
      <w:r w:rsidRPr="00C62C33">
        <w:rPr>
          <w:sz w:val="20"/>
          <w:szCs w:val="20"/>
        </w:rPr>
        <w:t>3. Department of Hematology and Oncology, Imam Khomeini Hospital, Mazandaran University of Medical Sciences, Sari, Iran</w:t>
      </w:r>
    </w:p>
    <w:p w:rsidR="00C62C33" w:rsidRPr="00C62C33" w:rsidRDefault="00C62C33" w:rsidP="00C62C33">
      <w:pPr>
        <w:spacing w:line="240" w:lineRule="auto"/>
        <w:jc w:val="both"/>
        <w:rPr>
          <w:sz w:val="20"/>
          <w:szCs w:val="20"/>
        </w:rPr>
      </w:pPr>
      <w:r w:rsidRPr="00C62C33">
        <w:rPr>
          <w:sz w:val="20"/>
          <w:szCs w:val="20"/>
        </w:rPr>
        <w:t>4. Immunogenetics Research Center, School of Medicine, Mazandaran University of Medical Sciences, Sari, Iran</w:t>
      </w:r>
    </w:p>
    <w:p w:rsidR="00AF1EC5" w:rsidRPr="00AF1EC5" w:rsidRDefault="00AF1EC5" w:rsidP="00C62C33">
      <w:pPr>
        <w:jc w:val="both"/>
        <w:rPr>
          <w:i/>
          <w:iCs/>
          <w:sz w:val="22"/>
          <w:szCs w:val="22"/>
        </w:rPr>
      </w:pPr>
      <w:r w:rsidRPr="00AF1EC5">
        <w:rPr>
          <w:i/>
          <w:iCs/>
          <w:sz w:val="22"/>
          <w:szCs w:val="22"/>
        </w:rPr>
        <w:t xml:space="preserve">*Corresponding author: </w:t>
      </w:r>
    </w:p>
    <w:p w:rsidR="00AF1EC5" w:rsidRDefault="00AF1EC5" w:rsidP="00C62C33">
      <w:pPr>
        <w:jc w:val="both"/>
        <w:rPr>
          <w:i/>
          <w:iCs/>
          <w:sz w:val="22"/>
          <w:szCs w:val="22"/>
        </w:rPr>
      </w:pPr>
      <w:r w:rsidRPr="00AF1EC5">
        <w:rPr>
          <w:i/>
          <w:iCs/>
          <w:sz w:val="22"/>
          <w:szCs w:val="22"/>
        </w:rPr>
        <w:t>Hossein Asgarian-Omran, Ph.D; Associate Professor, Department of Immunology, School of Medicine, Mazandaran University of Medical Sciences, Sari, Iran; Tel: +98 11 33543081, Fax: +98 1133543249 , E-mail</w:t>
      </w:r>
      <w:r w:rsidR="00C62C33">
        <w:rPr>
          <w:i/>
          <w:iCs/>
          <w:sz w:val="22"/>
          <w:szCs w:val="22"/>
        </w:rPr>
        <w:t>s</w:t>
      </w:r>
      <w:r w:rsidRPr="00AF1EC5">
        <w:rPr>
          <w:i/>
          <w:iCs/>
          <w:sz w:val="22"/>
          <w:szCs w:val="22"/>
        </w:rPr>
        <w:t xml:space="preserve">: </w:t>
      </w:r>
      <w:hyperlink r:id="rId5" w:history="1">
        <w:r w:rsidR="00C62C33" w:rsidRPr="00545790">
          <w:rPr>
            <w:rStyle w:val="Hyperlink"/>
            <w:i/>
            <w:iCs/>
            <w:sz w:val="22"/>
            <w:szCs w:val="22"/>
          </w:rPr>
          <w:t>asgarianhossein@yahoo.com</w:t>
        </w:r>
      </w:hyperlink>
      <w:r w:rsidR="00C62C33">
        <w:rPr>
          <w:i/>
          <w:iCs/>
          <w:sz w:val="22"/>
          <w:szCs w:val="22"/>
        </w:rPr>
        <w:t xml:space="preserve">, </w:t>
      </w:r>
      <w:hyperlink r:id="rId6" w:history="1">
        <w:r w:rsidR="00C62C33" w:rsidRPr="00545790">
          <w:rPr>
            <w:rStyle w:val="Hyperlink"/>
            <w:i/>
            <w:iCs/>
            <w:sz w:val="22"/>
            <w:szCs w:val="22"/>
          </w:rPr>
          <w:t>hasgarian@mazums.ac.ir</w:t>
        </w:r>
      </w:hyperlink>
      <w:r w:rsidR="00C62C33">
        <w:rPr>
          <w:i/>
          <w:iCs/>
          <w:sz w:val="22"/>
          <w:szCs w:val="22"/>
        </w:rPr>
        <w:t xml:space="preserve"> </w:t>
      </w:r>
    </w:p>
    <w:p w:rsidR="000C01EE" w:rsidRDefault="000C01EE" w:rsidP="00C62C33">
      <w:pPr>
        <w:jc w:val="both"/>
        <w:rPr>
          <w:i/>
          <w:iCs/>
          <w:sz w:val="22"/>
          <w:szCs w:val="22"/>
        </w:rPr>
      </w:pPr>
    </w:p>
    <w:p w:rsidR="000C01EE" w:rsidRPr="00AF1EC5" w:rsidRDefault="000C01EE" w:rsidP="00CF4797">
      <w:pPr>
        <w:spacing w:line="360" w:lineRule="auto"/>
        <w:jc w:val="both"/>
        <w:rPr>
          <w:rFonts w:asciiTheme="majorBidi" w:hAnsiTheme="majorBidi" w:cstheme="majorBidi"/>
          <w:noProof w:val="0"/>
          <w:sz w:val="24"/>
          <w:szCs w:val="24"/>
          <w:rtl/>
          <w:lang w:bidi="ar-SA"/>
        </w:rPr>
      </w:pPr>
      <w:r w:rsidRPr="00AF1EC5">
        <w:rPr>
          <w:b/>
          <w:bCs/>
          <w:sz w:val="24"/>
          <w:szCs w:val="24"/>
        </w:rPr>
        <w:t>Background:</w:t>
      </w:r>
      <w:r w:rsidRPr="00AF1EC5">
        <w:rPr>
          <w:sz w:val="24"/>
          <w:szCs w:val="24"/>
        </w:rPr>
        <w:t xml:space="preserve"> Patients with chronic </w:t>
      </w:r>
      <w:r w:rsidR="000C562E">
        <w:rPr>
          <w:sz w:val="24"/>
          <w:szCs w:val="24"/>
        </w:rPr>
        <w:t xml:space="preserve">lymphocytic leukemia </w:t>
      </w:r>
      <w:r w:rsidRPr="00AF1EC5">
        <w:rPr>
          <w:sz w:val="24"/>
          <w:szCs w:val="24"/>
        </w:rPr>
        <w:t>(</w:t>
      </w:r>
      <w:smartTag w:uri="urn:schemas-microsoft-com:office:smarttags" w:element="stockticker">
        <w:r w:rsidRPr="00AF1EC5">
          <w:rPr>
            <w:sz w:val="24"/>
            <w:szCs w:val="24"/>
          </w:rPr>
          <w:t>CLL</w:t>
        </w:r>
      </w:smartTag>
      <w:r w:rsidRPr="00AF1EC5">
        <w:rPr>
          <w:sz w:val="24"/>
          <w:szCs w:val="24"/>
        </w:rPr>
        <w:t xml:space="preserve">)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have profound defects in </w:t>
      </w:r>
      <w:r w:rsidR="000D18E2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function </w:t>
      </w:r>
      <w:r w:rsidR="000D18E2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of </w:t>
      </w:r>
      <w:r w:rsidR="00715A5A">
        <w:rPr>
          <w:rFonts w:asciiTheme="majorBidi" w:hAnsiTheme="majorBidi" w:cstheme="majorBidi"/>
          <w:noProof w:val="0"/>
          <w:sz w:val="24"/>
          <w:szCs w:val="24"/>
          <w:lang w:bidi="ar-SA"/>
        </w:rPr>
        <w:t>T-cells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develop</w:t>
      </w:r>
      <w:r w:rsidR="00715A5A">
        <w:rPr>
          <w:rFonts w:asciiTheme="majorBidi" w:hAnsiTheme="majorBidi" w:cstheme="majorBidi"/>
          <w:noProof w:val="0"/>
          <w:sz w:val="24"/>
          <w:szCs w:val="24"/>
          <w:lang w:bidi="ar-SA"/>
        </w:rPr>
        <w:t>ing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an exh</w:t>
      </w:r>
      <w:r w:rsidR="000C562E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austed phenotype </w:t>
      </w:r>
      <w:r w:rsidR="00715A5A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which is recognized by the </w:t>
      </w:r>
      <w:r w:rsidR="000C562E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expression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of multiple immune checkpoint</w:t>
      </w:r>
      <w:r w:rsidR="00715A5A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receptor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s such as PD-1 and Tim-3. </w:t>
      </w:r>
      <w:r w:rsidR="006601B0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In the last decade, immunotherapy strategy based on </w:t>
      </w:r>
      <w:r w:rsidR="00642EF6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the </w:t>
      </w:r>
      <w:r w:rsidR="006601B0">
        <w:rPr>
          <w:rFonts w:asciiTheme="majorBidi" w:hAnsiTheme="majorBidi" w:cstheme="majorBidi"/>
          <w:noProof w:val="0"/>
          <w:sz w:val="24"/>
          <w:szCs w:val="24"/>
          <w:lang w:bidi="ar-SA"/>
        </w:rPr>
        <w:t>i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mmune checkpoint inhibitors ha</w:t>
      </w:r>
      <w:r w:rsidR="006601B0">
        <w:rPr>
          <w:rFonts w:asciiTheme="majorBidi" w:hAnsiTheme="majorBidi" w:cstheme="majorBidi"/>
          <w:noProof w:val="0"/>
          <w:sz w:val="24"/>
          <w:szCs w:val="24"/>
          <w:lang w:bidi="ar-SA"/>
        </w:rPr>
        <w:t>s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</w:t>
      </w:r>
      <w:r w:rsidRPr="00AF1EC5">
        <w:rPr>
          <w:rFonts w:asciiTheme="majorBidi" w:hAnsiTheme="majorBidi" w:cstheme="majorBidi"/>
          <w:sz w:val="24"/>
          <w:szCs w:val="24"/>
        </w:rPr>
        <w:t>achieved invaluable success in tumor therapy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. </w:t>
      </w:r>
      <w:r w:rsidRPr="00AF1EC5">
        <w:rPr>
          <w:rFonts w:asciiTheme="majorBidi" w:hAnsiTheme="majorBidi" w:cstheme="majorBidi"/>
          <w:sz w:val="24"/>
          <w:szCs w:val="24"/>
        </w:rPr>
        <w:t xml:space="preserve">In this </w:t>
      </w:r>
      <w:r w:rsidR="006601B0">
        <w:rPr>
          <w:rFonts w:asciiTheme="majorBidi" w:hAnsiTheme="majorBidi" w:cstheme="majorBidi"/>
          <w:sz w:val="24"/>
          <w:szCs w:val="24"/>
        </w:rPr>
        <w:t xml:space="preserve">in vitro study, the effect of </w:t>
      </w:r>
      <w:r w:rsidRPr="00AF1EC5">
        <w:rPr>
          <w:rFonts w:asciiTheme="majorBidi" w:hAnsiTheme="majorBidi" w:cstheme="majorBidi"/>
          <w:sz w:val="24"/>
          <w:szCs w:val="24"/>
        </w:rPr>
        <w:t xml:space="preserve">PD-1 and Tim-3 blocking </w:t>
      </w:r>
      <w:r w:rsidR="006601B0">
        <w:rPr>
          <w:rFonts w:asciiTheme="majorBidi" w:hAnsiTheme="majorBidi" w:cstheme="majorBidi"/>
          <w:sz w:val="24"/>
          <w:szCs w:val="24"/>
        </w:rPr>
        <w:t xml:space="preserve">was investigated to restore the function of </w:t>
      </w:r>
      <w:r w:rsidRPr="00AF1EC5">
        <w:rPr>
          <w:rFonts w:asciiTheme="majorBidi" w:hAnsiTheme="majorBidi" w:cstheme="majorBidi"/>
          <w:sz w:val="24"/>
          <w:szCs w:val="24"/>
        </w:rPr>
        <w:t>exhausted CD8</w:t>
      </w:r>
      <w:r w:rsidRPr="00AF1EC5">
        <w:rPr>
          <w:rFonts w:asciiTheme="majorBidi" w:hAnsiTheme="majorBidi" w:cstheme="majorBidi"/>
          <w:sz w:val="24"/>
          <w:szCs w:val="24"/>
          <w:vertAlign w:val="superscript"/>
        </w:rPr>
        <w:t xml:space="preserve">+ </w:t>
      </w:r>
      <w:r w:rsidRPr="00AF1EC5">
        <w:rPr>
          <w:rFonts w:asciiTheme="majorBidi" w:hAnsiTheme="majorBidi" w:cstheme="majorBidi"/>
          <w:sz w:val="24"/>
          <w:szCs w:val="24"/>
        </w:rPr>
        <w:t xml:space="preserve">T-cells in </w:t>
      </w:r>
      <w:smartTag w:uri="urn:schemas-microsoft-com:office:smarttags" w:element="stockticker">
        <w:r w:rsidRPr="00AF1EC5">
          <w:rPr>
            <w:rFonts w:asciiTheme="majorBidi" w:hAnsiTheme="majorBidi" w:cstheme="majorBidi"/>
            <w:sz w:val="24"/>
            <w:szCs w:val="24"/>
          </w:rPr>
          <w:t>CLL</w:t>
        </w:r>
      </w:smartTag>
      <w:r w:rsidRPr="00AF1EC5">
        <w:rPr>
          <w:rFonts w:asciiTheme="majorBidi" w:hAnsiTheme="majorBidi" w:cstheme="majorBidi"/>
          <w:sz w:val="24"/>
          <w:szCs w:val="24"/>
        </w:rPr>
        <w:t xml:space="preserve"> patients.</w:t>
      </w:r>
    </w:p>
    <w:p w:rsidR="00CF4797" w:rsidRPr="00AF1EC5" w:rsidRDefault="000C01EE" w:rsidP="00642EF6">
      <w:pPr>
        <w:spacing w:line="360" w:lineRule="auto"/>
        <w:jc w:val="both"/>
        <w:rPr>
          <w:rFonts w:asciiTheme="majorBidi" w:hAnsiTheme="majorBidi" w:cstheme="majorBidi"/>
          <w:noProof w:val="0"/>
          <w:sz w:val="24"/>
          <w:szCs w:val="24"/>
          <w:lang w:bidi="ar-SA"/>
        </w:rPr>
      </w:pPr>
      <w:r w:rsidRPr="00AF1EC5">
        <w:rPr>
          <w:rFonts w:asciiTheme="majorBidi" w:hAnsiTheme="majorBidi" w:cstheme="majorBidi"/>
          <w:b/>
          <w:bCs/>
          <w:noProof w:val="0"/>
          <w:sz w:val="24"/>
          <w:szCs w:val="24"/>
          <w:lang w:bidi="ar-SA"/>
        </w:rPr>
        <w:t>Methods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: </w:t>
      </w:r>
      <w:r w:rsidR="00CF4797" w:rsidRPr="002F304B">
        <w:rPr>
          <w:rFonts w:cs="Times New Roman"/>
          <w:sz w:val="24"/>
        </w:rPr>
        <w:t xml:space="preserve">Peripheral blood mononuclear cells were </w:t>
      </w:r>
      <w:r w:rsidR="00CF4797">
        <w:rPr>
          <w:rFonts w:cs="Times New Roman"/>
          <w:sz w:val="24"/>
        </w:rPr>
        <w:t>isolated</w:t>
      </w:r>
      <w:r w:rsidR="00CF4797" w:rsidRPr="002F304B">
        <w:rPr>
          <w:rFonts w:cs="Times New Roman"/>
          <w:sz w:val="24"/>
        </w:rPr>
        <w:t xml:space="preserve"> </w:t>
      </w:r>
      <w:r w:rsidR="00CF4797">
        <w:rPr>
          <w:rFonts w:cs="Times New Roman"/>
          <w:sz w:val="24"/>
        </w:rPr>
        <w:t xml:space="preserve">from 16 patients with CLL </w:t>
      </w:r>
      <w:r w:rsidR="00CF4797" w:rsidRPr="002F304B">
        <w:rPr>
          <w:rFonts w:cs="Times New Roman"/>
          <w:sz w:val="24"/>
        </w:rPr>
        <w:t>and</w:t>
      </w:r>
      <w:r w:rsidR="00CF4797">
        <w:rPr>
          <w:rFonts w:cs="Times New Roman"/>
          <w:sz w:val="24"/>
        </w:rPr>
        <w:t xml:space="preserve"> </w:t>
      </w:r>
      <w:r w:rsidR="00CF4797" w:rsidRPr="002F304B">
        <w:rPr>
          <w:rFonts w:cs="Times New Roman"/>
          <w:sz w:val="24"/>
        </w:rPr>
        <w:t>CD8</w:t>
      </w:r>
      <w:r w:rsidR="00CF4797" w:rsidRPr="00F30916">
        <w:rPr>
          <w:rFonts w:cs="Times New Roman"/>
          <w:sz w:val="24"/>
          <w:vertAlign w:val="superscript"/>
        </w:rPr>
        <w:t>+</w:t>
      </w:r>
      <w:r w:rsidR="00CF4797" w:rsidRPr="002F304B">
        <w:rPr>
          <w:rFonts w:cs="Times New Roman"/>
          <w:sz w:val="24"/>
        </w:rPr>
        <w:t xml:space="preserve"> T</w:t>
      </w:r>
      <w:r w:rsidR="00CF4797">
        <w:rPr>
          <w:rFonts w:cs="Times New Roman"/>
          <w:sz w:val="24"/>
        </w:rPr>
        <w:t xml:space="preserve"> </w:t>
      </w:r>
      <w:r w:rsidR="00CF4797" w:rsidRPr="002F304B">
        <w:rPr>
          <w:rFonts w:cs="Times New Roman"/>
          <w:sz w:val="24"/>
        </w:rPr>
        <w:t>cells were positive</w:t>
      </w:r>
      <w:r w:rsidR="00CF4797">
        <w:rPr>
          <w:rFonts w:cs="Times New Roman"/>
          <w:sz w:val="24"/>
        </w:rPr>
        <w:t>ly</w:t>
      </w:r>
      <w:r w:rsidR="00CF4797" w:rsidRPr="002F304B">
        <w:rPr>
          <w:rFonts w:cs="Times New Roman"/>
          <w:sz w:val="24"/>
        </w:rPr>
        <w:t xml:space="preserve"> isolated using magnetic beads separation method. </w:t>
      </w:r>
      <w:r w:rsidR="00CF4797">
        <w:rPr>
          <w:rFonts w:cs="Times New Roman"/>
          <w:sz w:val="24"/>
        </w:rPr>
        <w:t xml:space="preserve">Isolated </w:t>
      </w:r>
      <w:r w:rsidR="00CF4797" w:rsidRPr="002F304B">
        <w:rPr>
          <w:rFonts w:cs="Times New Roman"/>
          <w:sz w:val="24"/>
        </w:rPr>
        <w:t>CD8</w:t>
      </w:r>
      <w:r w:rsidR="00CF4797" w:rsidRPr="00A1399C">
        <w:rPr>
          <w:rFonts w:cs="Times New Roman"/>
          <w:sz w:val="24"/>
          <w:vertAlign w:val="superscript"/>
        </w:rPr>
        <w:t>+</w:t>
      </w:r>
      <w:r w:rsidR="00CF4797" w:rsidRPr="002F304B">
        <w:rPr>
          <w:rFonts w:cs="Times New Roman"/>
          <w:sz w:val="24"/>
        </w:rPr>
        <w:t xml:space="preserve"> T</w:t>
      </w:r>
      <w:r w:rsidR="00CF4797">
        <w:rPr>
          <w:rFonts w:cs="Times New Roman"/>
          <w:sz w:val="24"/>
        </w:rPr>
        <w:t xml:space="preserve"> </w:t>
      </w:r>
      <w:r w:rsidR="00CF4797" w:rsidRPr="002F304B">
        <w:rPr>
          <w:rFonts w:cs="Times New Roman"/>
          <w:sz w:val="24"/>
        </w:rPr>
        <w:t xml:space="preserve">cells were treated with </w:t>
      </w:r>
      <w:r w:rsidR="00CF4797">
        <w:rPr>
          <w:rFonts w:cs="Times New Roman"/>
          <w:sz w:val="24"/>
        </w:rPr>
        <w:t xml:space="preserve">either </w:t>
      </w:r>
      <w:r w:rsidR="00CF4797" w:rsidRPr="002F304B">
        <w:rPr>
          <w:rFonts w:cs="Times New Roman"/>
          <w:sz w:val="24"/>
        </w:rPr>
        <w:t>blocking antibodies against PD-1 and T</w:t>
      </w:r>
      <w:r w:rsidR="00CF4797">
        <w:rPr>
          <w:rFonts w:cs="Times New Roman"/>
          <w:sz w:val="24"/>
        </w:rPr>
        <w:t>im-</w:t>
      </w:r>
      <w:r w:rsidR="00CF4797" w:rsidRPr="002F304B">
        <w:rPr>
          <w:rFonts w:cs="Times New Roman"/>
          <w:sz w:val="24"/>
        </w:rPr>
        <w:t xml:space="preserve">3 </w:t>
      </w:r>
      <w:r w:rsidR="00CF4797">
        <w:rPr>
          <w:rFonts w:cs="Times New Roman"/>
          <w:sz w:val="24"/>
        </w:rPr>
        <w:t xml:space="preserve">and </w:t>
      </w:r>
      <w:r w:rsidR="00CF4797" w:rsidRPr="002F304B">
        <w:rPr>
          <w:rFonts w:cs="Times New Roman"/>
          <w:sz w:val="24"/>
        </w:rPr>
        <w:t>isotype</w:t>
      </w:r>
      <w:r w:rsidR="00CF4797">
        <w:rPr>
          <w:rFonts w:cs="Times New Roman"/>
          <w:sz w:val="24"/>
        </w:rPr>
        <w:t xml:space="preserve"> matched </w:t>
      </w:r>
      <w:r w:rsidR="00CF4797" w:rsidRPr="002F304B">
        <w:rPr>
          <w:rFonts w:cs="Times New Roman"/>
          <w:sz w:val="24"/>
        </w:rPr>
        <w:t>control</w:t>
      </w:r>
      <w:r w:rsidR="00CF4797">
        <w:rPr>
          <w:rFonts w:cs="Times New Roman"/>
          <w:sz w:val="24"/>
        </w:rPr>
        <w:t xml:space="preserve"> antibodies and then 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co-cultured with CLL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leukemic cells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as target cells</w:t>
      </w:r>
      <w:r w:rsidR="00CF4797" w:rsidRPr="002F304B">
        <w:rPr>
          <w:rFonts w:cs="Times New Roman"/>
          <w:sz w:val="24"/>
        </w:rPr>
        <w:t xml:space="preserve">. </w:t>
      </w:r>
      <w:r w:rsidR="00CF4797">
        <w:rPr>
          <w:rFonts w:cs="Times New Roman"/>
          <w:sz w:val="24"/>
        </w:rPr>
        <w:t>T</w:t>
      </w:r>
      <w:r w:rsidR="00CF4797" w:rsidRPr="002F304B">
        <w:rPr>
          <w:rFonts w:cs="Times New Roman"/>
          <w:sz w:val="24"/>
        </w:rPr>
        <w:t>reated CD8</w:t>
      </w:r>
      <w:r w:rsidR="00CF4797" w:rsidRPr="00A1399C">
        <w:rPr>
          <w:rFonts w:cs="Times New Roman"/>
          <w:sz w:val="24"/>
          <w:vertAlign w:val="superscript"/>
        </w:rPr>
        <w:t>+</w:t>
      </w:r>
      <w:r w:rsidR="00CF4797" w:rsidRPr="002F304B">
        <w:rPr>
          <w:rFonts w:cs="Times New Roman"/>
          <w:sz w:val="24"/>
        </w:rPr>
        <w:t xml:space="preserve"> T</w:t>
      </w:r>
      <w:r w:rsidR="00CF4797">
        <w:rPr>
          <w:rFonts w:cs="Times New Roman"/>
          <w:sz w:val="24"/>
        </w:rPr>
        <w:t xml:space="preserve"> </w:t>
      </w:r>
      <w:r w:rsidR="00CF4797" w:rsidRPr="002F304B">
        <w:rPr>
          <w:rFonts w:cs="Times New Roman"/>
          <w:sz w:val="24"/>
        </w:rPr>
        <w:t xml:space="preserve">cells </w:t>
      </w:r>
      <w:r w:rsidR="00CF4797">
        <w:rPr>
          <w:rFonts w:cs="Times New Roman"/>
          <w:sz w:val="24"/>
        </w:rPr>
        <w:t xml:space="preserve">were stimulated </w:t>
      </w:r>
      <w:r w:rsidR="00CF4797" w:rsidRPr="002F304B">
        <w:rPr>
          <w:rFonts w:cs="Times New Roman"/>
          <w:sz w:val="24"/>
        </w:rPr>
        <w:t xml:space="preserve">with anti-CD3/CD28 antibodies and </w:t>
      </w:r>
      <w:r w:rsidR="00CF4797">
        <w:rPr>
          <w:rFonts w:cs="Times New Roman"/>
          <w:sz w:val="24"/>
        </w:rPr>
        <w:t xml:space="preserve">recombinant IL-2. 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The percentage of apoptotic 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>leukemic cells and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expression of 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apoptotic genes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(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Bax, Bcl-2 and Caspase-3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) were evaluated by 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flow cytometry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and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Real-Time PCR 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>methods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, 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>respe</w:t>
      </w:r>
      <w:r w:rsidR="00CF4797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ctively.</w:t>
      </w:r>
      <w:r w:rsidR="00CF4797" w:rsidRP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>IFN-γ and TNF-α concentration</w:t>
      </w:r>
      <w:r w:rsidR="00CF4797" w:rsidRP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</w:t>
      </w:r>
      <w:r w:rsidR="00CF4797">
        <w:rPr>
          <w:rFonts w:asciiTheme="majorBidi" w:hAnsiTheme="majorBidi" w:cstheme="majorBidi"/>
          <w:noProof w:val="0"/>
          <w:sz w:val="24"/>
          <w:szCs w:val="24"/>
          <w:lang w:bidi="ar-SA"/>
        </w:rPr>
        <w:t>was also measured using ELISA.</w:t>
      </w:r>
    </w:p>
    <w:p w:rsidR="000C01EE" w:rsidRPr="00AF1EC5" w:rsidRDefault="000C01EE" w:rsidP="00470E08">
      <w:pPr>
        <w:spacing w:line="360" w:lineRule="auto"/>
        <w:jc w:val="both"/>
        <w:rPr>
          <w:rFonts w:asciiTheme="majorBidi" w:hAnsiTheme="majorBidi" w:cstheme="majorBidi"/>
          <w:noProof w:val="0"/>
          <w:sz w:val="24"/>
          <w:szCs w:val="24"/>
          <w:lang w:bidi="ar-SA"/>
        </w:rPr>
      </w:pPr>
      <w:r w:rsidRPr="00AF1EC5">
        <w:rPr>
          <w:rFonts w:asciiTheme="majorBidi" w:hAnsiTheme="majorBidi" w:cstheme="majorBidi"/>
          <w:b/>
          <w:bCs/>
          <w:noProof w:val="0"/>
          <w:sz w:val="24"/>
          <w:szCs w:val="24"/>
          <w:lang w:bidi="ar-SA"/>
        </w:rPr>
        <w:lastRenderedPageBreak/>
        <w:t>Results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: Flow </w:t>
      </w:r>
      <w:r w:rsidR="00470E08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cytometric analysis of apoptotic leukemic cells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indicated that the blockade of PD-1 and Tim-3 did not significantly improve the cytotoxicity effects of CD8+ T-cells on CLL cells</w:t>
      </w:r>
      <w:r w:rsidR="00470E08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which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then </w:t>
      </w:r>
      <w:r w:rsidR="00470E08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were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confirmed by gene expression analysis of Bax, Bcl-2 and Caspase-3 which was similar in blocked and control groups. No significant difference was found between blocked and control groups in term of production of IFN-γ and TNF-α by CD8</w:t>
      </w:r>
      <w:r w:rsidRPr="00AF1EC5">
        <w:rPr>
          <w:rFonts w:asciiTheme="majorBidi" w:hAnsiTheme="majorBidi" w:cstheme="majorBidi"/>
          <w:noProof w:val="0"/>
          <w:sz w:val="24"/>
          <w:szCs w:val="24"/>
          <w:vertAlign w:val="superscript"/>
          <w:lang w:bidi="ar-SA"/>
        </w:rPr>
        <w:t>+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T cells.</w:t>
      </w:r>
    </w:p>
    <w:p w:rsidR="000C01EE" w:rsidRPr="00AF1EC5" w:rsidRDefault="000C01EE" w:rsidP="00EF0FA6">
      <w:pPr>
        <w:spacing w:line="360" w:lineRule="auto"/>
        <w:jc w:val="both"/>
        <w:rPr>
          <w:rFonts w:asciiTheme="majorBidi" w:hAnsiTheme="majorBidi" w:cstheme="majorBidi"/>
          <w:noProof w:val="0"/>
          <w:sz w:val="24"/>
          <w:szCs w:val="24"/>
          <w:lang w:bidi="ar-SA"/>
        </w:rPr>
      </w:pPr>
      <w:r w:rsidRPr="00AF1EC5">
        <w:rPr>
          <w:rFonts w:asciiTheme="majorBidi" w:hAnsiTheme="majorBidi" w:cstheme="majorBidi"/>
          <w:b/>
          <w:bCs/>
          <w:noProof w:val="0"/>
          <w:sz w:val="24"/>
          <w:szCs w:val="24"/>
          <w:lang w:bidi="ar-SA"/>
        </w:rPr>
        <w:t>Conclusion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: We concluded that blockade of PD-1 and Tim-3 is not an effective strategy to restore </w:t>
      </w:r>
      <w:r w:rsidR="00EF0FA6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the </w:t>
      </w:r>
      <w:r w:rsidR="00EF0FA6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function</w:t>
      </w:r>
      <w:r w:rsidR="00EF0FA6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of</w:t>
      </w:r>
      <w:r w:rsidR="00EF0FA6"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CD8</w:t>
      </w:r>
      <w:r w:rsidRPr="00AF1EC5">
        <w:rPr>
          <w:rFonts w:asciiTheme="majorBidi" w:hAnsiTheme="majorBidi" w:cstheme="majorBidi"/>
          <w:noProof w:val="0"/>
          <w:sz w:val="24"/>
          <w:szCs w:val="24"/>
          <w:vertAlign w:val="superscript"/>
          <w:lang w:bidi="ar-SA"/>
        </w:rPr>
        <w:t>+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T-cells in CLL patients at the early stages of the disease</w:t>
      </w:r>
      <w:r w:rsidR="00EF0FA6">
        <w:rPr>
          <w:rFonts w:asciiTheme="majorBidi" w:hAnsiTheme="majorBidi" w:cstheme="majorBidi"/>
          <w:noProof w:val="0"/>
          <w:sz w:val="24"/>
          <w:szCs w:val="24"/>
          <w:lang w:bidi="ar-SA"/>
        </w:rPr>
        <w:t>.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 </w:t>
      </w:r>
      <w:r w:rsidR="00EF0FA6">
        <w:rPr>
          <w:rFonts w:asciiTheme="majorBidi" w:hAnsiTheme="majorBidi" w:cstheme="majorBidi"/>
          <w:noProof w:val="0"/>
          <w:sz w:val="24"/>
          <w:szCs w:val="24"/>
          <w:lang w:bidi="ar-SA"/>
        </w:rPr>
        <w:t>F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urther in vitro and in vivo studies </w:t>
      </w:r>
      <w:r w:rsidR="00EF0FA6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are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needed to </w:t>
      </w:r>
      <w:r w:rsidR="00EF0FA6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more address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the application of immune checkpoint blockade in CLL patients.</w:t>
      </w:r>
    </w:p>
    <w:p w:rsidR="000C01EE" w:rsidRPr="00AF1EC5" w:rsidRDefault="000C01EE" w:rsidP="00EF0FA6">
      <w:pPr>
        <w:spacing w:line="360" w:lineRule="auto"/>
        <w:jc w:val="both"/>
        <w:rPr>
          <w:rFonts w:asciiTheme="majorBidi" w:hAnsiTheme="majorBidi" w:cstheme="majorBidi"/>
          <w:noProof w:val="0"/>
          <w:sz w:val="24"/>
          <w:szCs w:val="24"/>
          <w:lang w:bidi="ar-SA"/>
        </w:rPr>
      </w:pPr>
      <w:r w:rsidRPr="00AF1EC5">
        <w:rPr>
          <w:rFonts w:asciiTheme="majorBidi" w:hAnsiTheme="majorBidi" w:cstheme="majorBidi"/>
          <w:b/>
          <w:bCs/>
          <w:noProof w:val="0"/>
          <w:sz w:val="24"/>
          <w:szCs w:val="24"/>
          <w:lang w:bidi="ar-SA"/>
        </w:rPr>
        <w:t>Keywords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: Chronic lymphocytic leukemia, </w:t>
      </w:r>
      <w:r w:rsidR="00EF0FA6">
        <w:rPr>
          <w:rFonts w:asciiTheme="majorBidi" w:hAnsiTheme="majorBidi" w:cstheme="majorBidi"/>
          <w:noProof w:val="0"/>
          <w:sz w:val="24"/>
          <w:szCs w:val="24"/>
          <w:lang w:bidi="ar-SA"/>
        </w:rPr>
        <w:t xml:space="preserve">PD-1, Tim-3, </w:t>
      </w:r>
      <w:r w:rsidRPr="00AF1EC5">
        <w:rPr>
          <w:rFonts w:asciiTheme="majorBidi" w:hAnsiTheme="majorBidi" w:cstheme="majorBidi"/>
          <w:noProof w:val="0"/>
          <w:sz w:val="24"/>
          <w:szCs w:val="24"/>
          <w:lang w:bidi="ar-SA"/>
        </w:rPr>
        <w:t>Immune c</w:t>
      </w:r>
      <w:r w:rsidR="00EF0FA6">
        <w:rPr>
          <w:rFonts w:asciiTheme="majorBidi" w:hAnsiTheme="majorBidi" w:cstheme="majorBidi"/>
          <w:noProof w:val="0"/>
          <w:sz w:val="24"/>
          <w:szCs w:val="24"/>
          <w:lang w:bidi="ar-SA"/>
        </w:rPr>
        <w:t>heckpoint inhibitors</w:t>
      </w:r>
    </w:p>
    <w:p w:rsidR="000C01EE" w:rsidRPr="004D2729" w:rsidRDefault="000C01EE" w:rsidP="00C62C33">
      <w:pPr>
        <w:jc w:val="both"/>
        <w:rPr>
          <w:i/>
          <w:iCs/>
          <w:sz w:val="22"/>
          <w:szCs w:val="22"/>
        </w:rPr>
      </w:pPr>
    </w:p>
    <w:sectPr w:rsidR="000C01EE" w:rsidRPr="004D2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9C"/>
    <w:rsid w:val="00011903"/>
    <w:rsid w:val="000C01EE"/>
    <w:rsid w:val="000C562E"/>
    <w:rsid w:val="000D18E2"/>
    <w:rsid w:val="001B068B"/>
    <w:rsid w:val="00200C10"/>
    <w:rsid w:val="0025304A"/>
    <w:rsid w:val="002E79CF"/>
    <w:rsid w:val="003D77AA"/>
    <w:rsid w:val="00470E08"/>
    <w:rsid w:val="004D2729"/>
    <w:rsid w:val="00527C2F"/>
    <w:rsid w:val="005555AD"/>
    <w:rsid w:val="00642EF6"/>
    <w:rsid w:val="006601B0"/>
    <w:rsid w:val="00715A5A"/>
    <w:rsid w:val="00865D9C"/>
    <w:rsid w:val="009E0872"/>
    <w:rsid w:val="009F1052"/>
    <w:rsid w:val="00AF1EC5"/>
    <w:rsid w:val="00B65339"/>
    <w:rsid w:val="00C30A2D"/>
    <w:rsid w:val="00C62C33"/>
    <w:rsid w:val="00CF4797"/>
    <w:rsid w:val="00EA312B"/>
    <w:rsid w:val="00EF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2C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2C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hasgarian@mazums.ac.ir" TargetMode="External"/><Relationship Id="rId5" Type="http://schemas.openxmlformats.org/officeDocument/2006/relationships/hyperlink" Target="mailto:asgarianhossein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shakiba</dc:creator>
  <cp:lastModifiedBy>User</cp:lastModifiedBy>
  <cp:revision>2</cp:revision>
  <dcterms:created xsi:type="dcterms:W3CDTF">2021-03-23T16:45:00Z</dcterms:created>
  <dcterms:modified xsi:type="dcterms:W3CDTF">2021-03-23T16:45:00Z</dcterms:modified>
</cp:coreProperties>
</file>