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9C475A" w14:textId="03F7A0E8" w:rsidR="00E71FC0" w:rsidRDefault="00E71FC0" w:rsidP="00E71FC0">
      <w:pPr>
        <w:pStyle w:val="Heading1"/>
        <w:spacing w:before="170"/>
        <w:ind w:left="0"/>
      </w:pPr>
      <w:bookmarkStart w:id="0" w:name="_Hlk63421416"/>
      <w:r>
        <w:rPr>
          <w:color w:val="337AB7"/>
        </w:rPr>
        <w:t xml:space="preserve">The HERV-K102 Innate Immunity Host Defense System Against Emerging RNA Viruses </w:t>
      </w:r>
      <w:r w:rsidR="00D63CB8">
        <w:rPr>
          <w:color w:val="337AB7"/>
        </w:rPr>
        <w:t>Potentially Enhanced in COVID-19 by Ivermectin</w:t>
      </w:r>
    </w:p>
    <w:bookmarkEnd w:id="0"/>
    <w:p w14:paraId="4B69F2DB" w14:textId="0B0A1B89" w:rsidR="00E71FC0" w:rsidRDefault="00E71FC0" w:rsidP="00E71FC0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Marian Laderoute, </w:t>
      </w:r>
      <w:r w:rsidR="00547F3D">
        <w:rPr>
          <w:rFonts w:ascii="Arial"/>
        </w:rPr>
        <w:t>ISM-</w:t>
      </w:r>
      <w:r>
        <w:rPr>
          <w:rFonts w:ascii="Arial"/>
        </w:rPr>
        <w:t>Immune System Management</w:t>
      </w:r>
      <w:r w:rsidR="00547F3D">
        <w:rPr>
          <w:rFonts w:ascii="Arial"/>
        </w:rPr>
        <w:t xml:space="preserve">, </w:t>
      </w:r>
      <w:r w:rsidR="00482A63">
        <w:rPr>
          <w:rFonts w:ascii="Arial"/>
        </w:rPr>
        <w:t>O</w:t>
      </w:r>
      <w:r>
        <w:rPr>
          <w:rFonts w:ascii="Arial"/>
        </w:rPr>
        <w:t>ttawa, Ontario CANADA</w:t>
      </w:r>
    </w:p>
    <w:p w14:paraId="6686ABD8" w14:textId="77777777" w:rsidR="00E71FC0" w:rsidRDefault="00E71FC0" w:rsidP="00E71FC0">
      <w:pPr>
        <w:pStyle w:val="BodyText"/>
        <w:spacing w:before="90" w:line="280" w:lineRule="auto"/>
        <w:ind w:left="100"/>
        <w:jc w:val="both"/>
      </w:pPr>
    </w:p>
    <w:p w14:paraId="4DEA7802" w14:textId="0FA70462" w:rsidR="0096311E" w:rsidRDefault="00F176B7" w:rsidP="00F14D45">
      <w:pPr>
        <w:rPr>
          <w:rFonts w:ascii="Arial Nova Cond" w:hAnsi="Arial Nova Cond"/>
          <w:sz w:val="24"/>
          <w:szCs w:val="24"/>
        </w:rPr>
      </w:pPr>
      <w:bookmarkStart w:id="1" w:name="_Hlk63421623"/>
      <w:r w:rsidRPr="00A52A90">
        <w:rPr>
          <w:rFonts w:ascii="Arial Nova Cond" w:hAnsi="Arial Nova Cond"/>
          <w:sz w:val="24"/>
          <w:szCs w:val="24"/>
        </w:rPr>
        <w:t>Human endogenous retrovirus K102 (HERV-K102) is a replication competent protector foamy retrovirus located on chromosome 1</w:t>
      </w:r>
      <w:r w:rsidR="00A52A90">
        <w:rPr>
          <w:rFonts w:ascii="Arial Nova Cond" w:hAnsi="Arial Nova Cond"/>
          <w:sz w:val="24"/>
          <w:szCs w:val="24"/>
        </w:rPr>
        <w:t xml:space="preserve"> </w:t>
      </w:r>
      <w:r w:rsidRPr="00A52A90">
        <w:rPr>
          <w:rFonts w:ascii="Arial Nova Cond" w:hAnsi="Arial Nova Cond"/>
          <w:sz w:val="24"/>
          <w:szCs w:val="24"/>
        </w:rPr>
        <w:t>and is unique to humans. It appears to be a crucial component of the innate anti-viral response launched in macrophages in response to viruses</w:t>
      </w:r>
      <w:r w:rsidR="00BC3409">
        <w:rPr>
          <w:rFonts w:ascii="Arial Nova Cond" w:hAnsi="Arial Nova Cond"/>
          <w:sz w:val="24"/>
          <w:szCs w:val="24"/>
        </w:rPr>
        <w:t xml:space="preserve"> which renders the activated macrophages foamy</w:t>
      </w:r>
      <w:r w:rsidR="00005A8F">
        <w:rPr>
          <w:rFonts w:ascii="Arial Nova Cond" w:hAnsi="Arial Nova Cond"/>
          <w:sz w:val="24"/>
          <w:szCs w:val="24"/>
        </w:rPr>
        <w:t xml:space="preserve"> (FM)</w:t>
      </w:r>
      <w:r w:rsidRPr="00A52A90">
        <w:rPr>
          <w:rFonts w:ascii="Arial Nova Cond" w:hAnsi="Arial Nova Cond"/>
          <w:sz w:val="24"/>
          <w:szCs w:val="24"/>
        </w:rPr>
        <w:t xml:space="preserve">. Various lines of evidence suggest the HERV-K102 </w:t>
      </w:r>
      <w:r w:rsidR="004A1191">
        <w:rPr>
          <w:rFonts w:ascii="Arial Nova Cond" w:hAnsi="Arial Nova Cond"/>
          <w:sz w:val="24"/>
          <w:szCs w:val="24"/>
        </w:rPr>
        <w:t xml:space="preserve">innate </w:t>
      </w:r>
      <w:r w:rsidRPr="00A52A90">
        <w:rPr>
          <w:rFonts w:ascii="Arial Nova Cond" w:hAnsi="Arial Nova Cond"/>
          <w:sz w:val="24"/>
          <w:szCs w:val="24"/>
        </w:rPr>
        <w:t>defense system may be critical to host survival against emerging RNA viruses</w:t>
      </w:r>
      <w:r w:rsidR="00005A8F">
        <w:rPr>
          <w:rFonts w:ascii="Arial Nova Cond" w:hAnsi="Arial Nova Cond"/>
          <w:sz w:val="24"/>
          <w:szCs w:val="24"/>
        </w:rPr>
        <w:t>.</w:t>
      </w:r>
      <w:r w:rsidR="004A1191">
        <w:rPr>
          <w:rFonts w:ascii="Arial Nova Cond" w:hAnsi="Arial Nova Cond"/>
          <w:sz w:val="24"/>
          <w:szCs w:val="24"/>
        </w:rPr>
        <w:t xml:space="preserve"> </w:t>
      </w:r>
      <w:r w:rsidR="00A52A90">
        <w:rPr>
          <w:rFonts w:ascii="Arial Nova Cond" w:eastAsiaTheme="majorEastAsia" w:hAnsi="Arial Nova Cond" w:cstheme="majorBidi"/>
          <w:sz w:val="24"/>
          <w:szCs w:val="24"/>
        </w:rPr>
        <w:t xml:space="preserve">However, the release of HERV-K102 particles from </w:t>
      </w:r>
      <w:r w:rsidR="00005A8F">
        <w:rPr>
          <w:rFonts w:ascii="Arial Nova Cond" w:eastAsiaTheme="majorEastAsia" w:hAnsi="Arial Nova Cond" w:cstheme="majorBidi"/>
          <w:sz w:val="24"/>
          <w:szCs w:val="24"/>
        </w:rPr>
        <w:t>FM</w:t>
      </w:r>
      <w:r w:rsidR="00A52A90">
        <w:rPr>
          <w:rFonts w:ascii="Arial Nova Cond" w:eastAsiaTheme="majorEastAsia" w:hAnsi="Arial Nova Cond" w:cstheme="majorBidi"/>
          <w:sz w:val="24"/>
          <w:szCs w:val="24"/>
        </w:rPr>
        <w:t xml:space="preserve"> can be impeded by age or stress called immunosenescence</w:t>
      </w:r>
      <w:r w:rsidR="00257945">
        <w:rPr>
          <w:rFonts w:ascii="Arial Nova Cond" w:eastAsiaTheme="majorEastAsia" w:hAnsi="Arial Nova Cond" w:cstheme="majorBidi"/>
          <w:sz w:val="24"/>
          <w:szCs w:val="24"/>
        </w:rPr>
        <w:t xml:space="preserve"> (IMS)</w:t>
      </w:r>
      <w:r w:rsidR="00A52A90">
        <w:rPr>
          <w:rFonts w:ascii="Arial Nova Cond" w:eastAsiaTheme="majorEastAsia" w:hAnsi="Arial Nova Cond" w:cstheme="majorBidi"/>
          <w:sz w:val="24"/>
          <w:szCs w:val="24"/>
        </w:rPr>
        <w:t xml:space="preserve">. </w:t>
      </w:r>
      <w:r w:rsidR="00257945">
        <w:rPr>
          <w:rFonts w:ascii="Arial Nova Cond" w:eastAsiaTheme="majorEastAsia" w:hAnsi="Arial Nova Cond" w:cstheme="majorBidi"/>
          <w:sz w:val="24"/>
          <w:szCs w:val="24"/>
        </w:rPr>
        <w:t xml:space="preserve">IMS </w:t>
      </w:r>
      <w:r w:rsidR="00E34D98">
        <w:rPr>
          <w:rFonts w:ascii="Arial Nova Cond" w:eastAsiaTheme="majorEastAsia" w:hAnsi="Arial Nova Cond" w:cstheme="majorBidi"/>
          <w:sz w:val="24"/>
          <w:szCs w:val="24"/>
        </w:rPr>
        <w:t xml:space="preserve">is a well-established </w:t>
      </w:r>
      <w:r w:rsidR="00BC3409">
        <w:rPr>
          <w:rFonts w:ascii="Arial Nova Cond" w:eastAsiaTheme="majorEastAsia" w:hAnsi="Arial Nova Cond" w:cstheme="majorBidi"/>
          <w:sz w:val="24"/>
          <w:szCs w:val="24"/>
        </w:rPr>
        <w:t xml:space="preserve">clinical </w:t>
      </w:r>
      <w:r w:rsidR="00E34D98">
        <w:rPr>
          <w:rFonts w:ascii="Arial Nova Cond" w:eastAsiaTheme="majorEastAsia" w:hAnsi="Arial Nova Cond" w:cstheme="majorBidi"/>
          <w:sz w:val="24"/>
          <w:szCs w:val="24"/>
        </w:rPr>
        <w:t>risk factor for COVID-19 severity</w:t>
      </w:r>
      <w:r w:rsidR="00005A8F">
        <w:rPr>
          <w:rFonts w:ascii="Arial Nova Cond" w:eastAsiaTheme="majorEastAsia" w:hAnsi="Arial Nova Cond" w:cstheme="majorBidi"/>
          <w:sz w:val="24"/>
          <w:szCs w:val="24"/>
        </w:rPr>
        <w:t xml:space="preserve">. </w:t>
      </w:r>
      <w:r w:rsidR="00257945">
        <w:rPr>
          <w:rFonts w:ascii="Arial Nova Cond" w:eastAsiaTheme="majorEastAsia" w:hAnsi="Arial Nova Cond" w:cstheme="majorBidi"/>
          <w:sz w:val="24"/>
          <w:szCs w:val="24"/>
        </w:rPr>
        <w:t xml:space="preserve">It has been suggested IMS involves the reduced </w:t>
      </w:r>
      <w:r w:rsidR="00257945" w:rsidRPr="00005A8F">
        <w:rPr>
          <w:rFonts w:ascii="Arial Nova Cond" w:eastAsiaTheme="majorEastAsia" w:hAnsi="Arial Nova Cond" w:cstheme="majorBidi"/>
          <w:i/>
          <w:iCs/>
          <w:sz w:val="24"/>
          <w:szCs w:val="24"/>
        </w:rPr>
        <w:t>inactivation</w:t>
      </w:r>
      <w:r w:rsidR="00257945">
        <w:rPr>
          <w:rFonts w:ascii="Arial Nova Cond" w:eastAsiaTheme="majorEastAsia" w:hAnsi="Arial Nova Cond" w:cstheme="majorBidi"/>
          <w:sz w:val="24"/>
          <w:szCs w:val="24"/>
        </w:rPr>
        <w:t xml:space="preserve"> of alpha-fetoprotein (AFP) by declining levels of DHEA associated with age and/or stress. </w:t>
      </w:r>
      <w:r w:rsidR="00BC3409">
        <w:rPr>
          <w:rFonts w:ascii="Arial Nova Cond" w:eastAsiaTheme="majorEastAsia" w:hAnsi="Arial Nova Cond" w:cstheme="majorBidi"/>
          <w:sz w:val="24"/>
          <w:szCs w:val="24"/>
        </w:rPr>
        <w:t xml:space="preserve">Newer evidence suggests </w:t>
      </w:r>
      <w:r w:rsidR="00E34D98">
        <w:rPr>
          <w:rFonts w:ascii="Arial Nova Cond" w:eastAsiaTheme="majorEastAsia" w:hAnsi="Arial Nova Cond" w:cstheme="majorBidi"/>
          <w:sz w:val="24"/>
          <w:szCs w:val="24"/>
        </w:rPr>
        <w:t xml:space="preserve">SARS-CoV-2 may specifically target the innate anti-viral response and </w:t>
      </w:r>
      <w:r w:rsidR="00E34D98" w:rsidRPr="00257945">
        <w:rPr>
          <w:rFonts w:ascii="Arial Nova Cond" w:eastAsiaTheme="majorEastAsia" w:hAnsi="Arial Nova Cond" w:cstheme="majorBidi"/>
          <w:i/>
          <w:iCs/>
          <w:sz w:val="24"/>
          <w:szCs w:val="24"/>
        </w:rPr>
        <w:t>uniquely</w:t>
      </w:r>
      <w:r w:rsidR="00E34D98">
        <w:rPr>
          <w:rFonts w:ascii="Arial Nova Cond" w:eastAsiaTheme="majorEastAsia" w:hAnsi="Arial Nova Cond" w:cstheme="majorBidi"/>
          <w:sz w:val="24"/>
          <w:szCs w:val="24"/>
        </w:rPr>
        <w:t xml:space="preserve"> </w:t>
      </w:r>
      <w:r w:rsidR="00BC3409">
        <w:rPr>
          <w:rFonts w:ascii="Arial Nova Cond" w:eastAsiaTheme="majorEastAsia" w:hAnsi="Arial Nova Cond" w:cstheme="majorBidi"/>
          <w:sz w:val="24"/>
          <w:szCs w:val="24"/>
        </w:rPr>
        <w:t>disrupts</w:t>
      </w:r>
      <w:r w:rsidR="00E34D98">
        <w:rPr>
          <w:rFonts w:ascii="Arial Nova Cond" w:eastAsiaTheme="majorEastAsia" w:hAnsi="Arial Nova Cond" w:cstheme="majorBidi"/>
          <w:sz w:val="24"/>
          <w:szCs w:val="24"/>
        </w:rPr>
        <w:t xml:space="preserve"> foam cell formation by blocking the mevalonate pathway</w:t>
      </w:r>
      <w:r w:rsidR="00F14D45">
        <w:rPr>
          <w:rFonts w:ascii="Arial Nova Cond" w:eastAsiaTheme="majorEastAsia" w:hAnsi="Arial Nova Cond" w:cstheme="majorBidi"/>
          <w:sz w:val="24"/>
          <w:szCs w:val="24"/>
        </w:rPr>
        <w:t>,</w:t>
      </w:r>
      <w:r w:rsidR="007E0472">
        <w:rPr>
          <w:rFonts w:ascii="Arial Nova Cond" w:eastAsiaTheme="majorEastAsia" w:hAnsi="Arial Nova Cond" w:cstheme="majorBidi"/>
          <w:sz w:val="24"/>
          <w:szCs w:val="24"/>
        </w:rPr>
        <w:t xml:space="preserve"> in addition to the deregulation of IL-6. </w:t>
      </w:r>
      <w:r w:rsidR="004D67BE">
        <w:rPr>
          <w:rFonts w:ascii="Arial Nova Cond" w:eastAsiaTheme="majorEastAsia" w:hAnsi="Arial Nova Cond" w:cstheme="majorBidi"/>
          <w:sz w:val="24"/>
          <w:szCs w:val="24"/>
        </w:rPr>
        <w:t>The molecular pathways common to IMS and COVID-19 pathogenesis appear to converge on the glucocorticoid receptor (stress) regulatory network and the IL6ST (trans-signalling IL-6 receptor) inflammatory pathway</w:t>
      </w:r>
      <w:r w:rsidR="00005A8F">
        <w:rPr>
          <w:rFonts w:ascii="Arial Nova Cond" w:eastAsiaTheme="majorEastAsia" w:hAnsi="Arial Nova Cond" w:cstheme="majorBidi"/>
          <w:sz w:val="24"/>
          <w:szCs w:val="24"/>
        </w:rPr>
        <w:t xml:space="preserve"> both which involve </w:t>
      </w:r>
      <w:r w:rsidR="00715C3C">
        <w:rPr>
          <w:rFonts w:ascii="Arial Nova Cond" w:eastAsiaTheme="majorEastAsia" w:hAnsi="Arial Nova Cond" w:cstheme="majorBidi"/>
          <w:sz w:val="24"/>
          <w:szCs w:val="24"/>
        </w:rPr>
        <w:t>active AFP and IL-6</w:t>
      </w:r>
      <w:r w:rsidR="007E0472">
        <w:rPr>
          <w:rFonts w:ascii="Arial Nova Cond" w:eastAsiaTheme="majorEastAsia" w:hAnsi="Arial Nova Cond" w:cstheme="majorBidi"/>
          <w:sz w:val="24"/>
          <w:szCs w:val="24"/>
        </w:rPr>
        <w:t xml:space="preserve">. </w:t>
      </w:r>
      <w:r w:rsidR="00D63CB8">
        <w:rPr>
          <w:rFonts w:ascii="Arial Nova Cond" w:eastAsiaTheme="majorEastAsia" w:hAnsi="Arial Nova Cond" w:cstheme="majorBidi"/>
          <w:sz w:val="24"/>
          <w:szCs w:val="24"/>
        </w:rPr>
        <w:t>On the other hand, CCR5 receptor blockade has shown promise clinically against COVID-19. O</w:t>
      </w:r>
      <w:r w:rsidR="00715C3C">
        <w:rPr>
          <w:rFonts w:ascii="Arial Nova Cond" w:eastAsiaTheme="majorEastAsia" w:hAnsi="Arial Nova Cond" w:cstheme="majorBidi"/>
          <w:sz w:val="24"/>
          <w:szCs w:val="24"/>
        </w:rPr>
        <w:t xml:space="preserve">f </w:t>
      </w:r>
      <w:r w:rsidR="007E0472">
        <w:rPr>
          <w:rFonts w:ascii="Arial Nova Cond" w:eastAsiaTheme="majorEastAsia" w:hAnsi="Arial Nova Cond" w:cstheme="majorBidi"/>
          <w:sz w:val="24"/>
          <w:szCs w:val="24"/>
        </w:rPr>
        <w:t>relevance</w:t>
      </w:r>
      <w:r w:rsidR="00715C3C">
        <w:rPr>
          <w:rFonts w:ascii="Arial Nova Cond" w:eastAsiaTheme="majorEastAsia" w:hAnsi="Arial Nova Cond" w:cstheme="majorBidi"/>
          <w:sz w:val="24"/>
          <w:szCs w:val="24"/>
        </w:rPr>
        <w:t xml:space="preserve">, AFP is known to interact with CCR5, to inhibit the pro-apoptotic effects of CASP3 </w:t>
      </w:r>
      <w:r w:rsidR="007E0472">
        <w:rPr>
          <w:rFonts w:ascii="Arial Nova Cond" w:eastAsiaTheme="majorEastAsia" w:hAnsi="Arial Nova Cond" w:cstheme="majorBidi"/>
          <w:sz w:val="24"/>
          <w:szCs w:val="24"/>
        </w:rPr>
        <w:t>while</w:t>
      </w:r>
      <w:r w:rsidR="00715C3C">
        <w:rPr>
          <w:rFonts w:ascii="Arial Nova Cond" w:eastAsiaTheme="majorEastAsia" w:hAnsi="Arial Nova Cond" w:cstheme="majorBidi"/>
          <w:sz w:val="24"/>
          <w:szCs w:val="24"/>
        </w:rPr>
        <w:t xml:space="preserve"> TGFB-1 is known to bind and activate AFP.  </w:t>
      </w:r>
      <w:r w:rsidR="00407A13">
        <w:rPr>
          <w:rFonts w:ascii="Arial Nova Cond" w:eastAsiaTheme="majorEastAsia" w:hAnsi="Arial Nova Cond" w:cstheme="majorBidi"/>
          <w:sz w:val="24"/>
          <w:szCs w:val="24"/>
        </w:rPr>
        <w:t xml:space="preserve">In this regard, newer evidence by N Li </w:t>
      </w:r>
      <w:r w:rsidR="00407A13" w:rsidRPr="0092251D">
        <w:rPr>
          <w:rFonts w:ascii="Arial Nova Cond" w:eastAsiaTheme="majorEastAsia" w:hAnsi="Arial Nova Cond" w:cstheme="majorBidi"/>
          <w:i/>
          <w:iCs/>
          <w:sz w:val="24"/>
          <w:szCs w:val="24"/>
        </w:rPr>
        <w:t>et al</w:t>
      </w:r>
      <w:r w:rsidR="00407A13">
        <w:rPr>
          <w:rFonts w:ascii="Arial Nova Cond" w:eastAsiaTheme="majorEastAsia" w:hAnsi="Arial Nova Cond" w:cstheme="majorBidi"/>
          <w:sz w:val="24"/>
          <w:szCs w:val="24"/>
        </w:rPr>
        <w:t xml:space="preserve"> (2020) </w:t>
      </w:r>
      <w:r w:rsidR="00407A13" w:rsidRPr="00407A13">
        <w:rPr>
          <w:rFonts w:ascii="Arial Nova Cond" w:eastAsiaTheme="majorEastAsia" w:hAnsi="Arial Nova Cond" w:cstheme="majorBidi"/>
          <w:sz w:val="24"/>
          <w:szCs w:val="24"/>
        </w:rPr>
        <w:t>suggests the antiviral ivermectin</w:t>
      </w:r>
      <w:r w:rsidR="00D63CB8">
        <w:rPr>
          <w:rFonts w:ascii="Arial Nova Cond" w:eastAsiaTheme="majorEastAsia" w:hAnsi="Arial Nova Cond" w:cstheme="majorBidi"/>
          <w:sz w:val="24"/>
          <w:szCs w:val="24"/>
        </w:rPr>
        <w:t xml:space="preserve"> </w:t>
      </w:r>
      <w:r w:rsidR="00407A13" w:rsidRPr="00407A13">
        <w:rPr>
          <w:rFonts w:ascii="Arial Nova Cond" w:eastAsiaTheme="majorEastAsia" w:hAnsi="Arial Nova Cond" w:cstheme="majorBidi"/>
          <w:sz w:val="24"/>
          <w:szCs w:val="24"/>
        </w:rPr>
        <w:t>targets these SARS-CoV-2 interacting proteins</w:t>
      </w:r>
      <w:r w:rsidR="007E0472">
        <w:rPr>
          <w:rFonts w:ascii="Arial Nova Cond" w:eastAsiaTheme="majorEastAsia" w:hAnsi="Arial Nova Cond" w:cstheme="majorBidi"/>
          <w:sz w:val="24"/>
          <w:szCs w:val="24"/>
        </w:rPr>
        <w:t>.</w:t>
      </w:r>
      <w:r w:rsidR="00407A13" w:rsidRPr="00407A13">
        <w:rPr>
          <w:rFonts w:ascii="Arial Nova Cond" w:eastAsiaTheme="majorEastAsia" w:hAnsi="Arial Nova Cond" w:cstheme="majorBidi"/>
          <w:sz w:val="24"/>
          <w:szCs w:val="24"/>
        </w:rPr>
        <w:t xml:space="preserve"> </w:t>
      </w:r>
      <w:r w:rsidR="001C3B68">
        <w:rPr>
          <w:rFonts w:ascii="Arial Nova Cond" w:eastAsiaTheme="majorEastAsia" w:hAnsi="Arial Nova Cond" w:cstheme="majorBidi"/>
          <w:sz w:val="24"/>
          <w:szCs w:val="24"/>
        </w:rPr>
        <w:t xml:space="preserve">Moreover, </w:t>
      </w:r>
      <w:r w:rsidR="00D63CB8">
        <w:rPr>
          <w:rFonts w:ascii="Arial Nova Cond" w:hAnsi="Arial Nova Cond"/>
          <w:sz w:val="24"/>
          <w:szCs w:val="24"/>
        </w:rPr>
        <w:t>ivermectin</w:t>
      </w:r>
      <w:r w:rsidR="001C3B68">
        <w:rPr>
          <w:rFonts w:ascii="Arial Nova Cond" w:hAnsi="Arial Nova Cond"/>
          <w:sz w:val="24"/>
          <w:szCs w:val="24"/>
        </w:rPr>
        <w:t xml:space="preserve"> appears to have remarkable efficacy and effectiveness </w:t>
      </w:r>
      <w:r w:rsidR="001C3B68">
        <w:rPr>
          <w:rFonts w:ascii="Arial Nova Cond" w:hAnsi="Arial Nova Cond"/>
          <w:sz w:val="24"/>
          <w:szCs w:val="24"/>
        </w:rPr>
        <w:t xml:space="preserve">for the prevention and treatment of COVID-19. </w:t>
      </w:r>
      <w:r w:rsidR="00D63CB8">
        <w:rPr>
          <w:rFonts w:ascii="Arial Nova Cond" w:hAnsi="Arial Nova Cond"/>
          <w:sz w:val="24"/>
          <w:szCs w:val="24"/>
        </w:rPr>
        <w:t>In conclusion, i</w:t>
      </w:r>
      <w:r w:rsidR="001C3B68">
        <w:rPr>
          <w:rFonts w:ascii="Arial Nova Cond" w:hAnsi="Arial Nova Cond"/>
          <w:sz w:val="24"/>
          <w:szCs w:val="24"/>
        </w:rPr>
        <w:t>vermectin may provide significant protection against emerging RNA viruses potentially by circumventing the adverse effects of active AFP</w:t>
      </w:r>
      <w:r w:rsidR="00D63CB8">
        <w:rPr>
          <w:rFonts w:ascii="Arial Nova Cond" w:hAnsi="Arial Nova Cond"/>
          <w:sz w:val="24"/>
          <w:szCs w:val="24"/>
        </w:rPr>
        <w:t xml:space="preserve"> </w:t>
      </w:r>
      <w:r w:rsidR="001C3B68">
        <w:rPr>
          <w:rFonts w:ascii="Arial Nova Cond" w:hAnsi="Arial Nova Cond"/>
          <w:sz w:val="24"/>
          <w:szCs w:val="24"/>
        </w:rPr>
        <w:t>in IMS and COVID-19 pathogenesis, allowing for the launch of the HERV-K102 innate protector system</w:t>
      </w:r>
      <w:r w:rsidR="00D63CB8">
        <w:rPr>
          <w:rFonts w:ascii="Arial Nova Cond" w:hAnsi="Arial Nova Cond"/>
          <w:sz w:val="24"/>
          <w:szCs w:val="24"/>
        </w:rPr>
        <w:t xml:space="preserve"> in FM</w:t>
      </w:r>
      <w:r w:rsidR="00005A8F">
        <w:rPr>
          <w:rFonts w:ascii="Arial Nova Cond" w:hAnsi="Arial Nova Cond"/>
          <w:sz w:val="24"/>
          <w:szCs w:val="24"/>
        </w:rPr>
        <w:t>.</w:t>
      </w:r>
      <w:r w:rsidR="00D63CB8">
        <w:rPr>
          <w:rFonts w:ascii="Arial Nova Cond" w:hAnsi="Arial Nova Cond"/>
          <w:sz w:val="24"/>
          <w:szCs w:val="24"/>
        </w:rPr>
        <w:t xml:space="preserve"> </w:t>
      </w:r>
      <w:bookmarkEnd w:id="1"/>
    </w:p>
    <w:p w14:paraId="155FD8F4" w14:textId="1912C8B5" w:rsidR="00C30354" w:rsidRDefault="00C30354" w:rsidP="00F14D45">
      <w:pPr>
        <w:rPr>
          <w:rFonts w:ascii="Arial Nova Cond" w:hAnsi="Arial Nova Cond"/>
          <w:sz w:val="24"/>
          <w:szCs w:val="24"/>
        </w:rPr>
      </w:pPr>
    </w:p>
    <w:p w14:paraId="00AA86D9" w14:textId="4343EE73" w:rsidR="00C30354" w:rsidRPr="0092251D" w:rsidRDefault="00C30354" w:rsidP="00F14D45">
      <w:pPr>
        <w:rPr>
          <w:rFonts w:ascii="Arial Nova Cond" w:hAnsi="Arial Nova Cond"/>
          <w:b/>
          <w:bCs/>
          <w:sz w:val="24"/>
          <w:szCs w:val="24"/>
        </w:rPr>
      </w:pPr>
      <w:r w:rsidRPr="0092251D">
        <w:rPr>
          <w:rFonts w:ascii="Arial Nova Cond" w:hAnsi="Arial Nova Cond"/>
          <w:b/>
          <w:bCs/>
          <w:sz w:val="24"/>
          <w:szCs w:val="24"/>
        </w:rPr>
        <w:t xml:space="preserve">Relevant References: </w:t>
      </w:r>
    </w:p>
    <w:p w14:paraId="1C9BCF04" w14:textId="5AE8176E" w:rsidR="00862765" w:rsidRPr="00862765" w:rsidRDefault="00862765" w:rsidP="00862765">
      <w:pPr>
        <w:pStyle w:val="Heading1"/>
        <w:spacing w:before="170" w:line="240" w:lineRule="auto"/>
        <w:ind w:left="0"/>
        <w:rPr>
          <w:rFonts w:asciiTheme="minorHAnsi" w:hAnsiTheme="minorHAnsi" w:cstheme="minorHAnsi"/>
          <w:b w:val="0"/>
          <w:bCs w:val="0"/>
          <w:sz w:val="18"/>
          <w:szCs w:val="18"/>
        </w:rPr>
      </w:pPr>
      <w:bookmarkStart w:id="2" w:name="_Hlk63424026"/>
      <w:r w:rsidRPr="00862765">
        <w:rPr>
          <w:rFonts w:asciiTheme="minorHAnsi" w:eastAsia="Calibri" w:hAnsiTheme="minorHAnsi" w:cstheme="minorHAnsi"/>
          <w:sz w:val="18"/>
          <w:szCs w:val="18"/>
          <w:lang w:val="en-GB"/>
        </w:rPr>
        <w:t>Laderoute MP.</w:t>
      </w:r>
      <w:r w:rsidRPr="00862765">
        <w:rPr>
          <w:rFonts w:asciiTheme="minorHAnsi" w:eastAsia="Calibri" w:hAnsiTheme="minorHAnsi" w:cstheme="minorHAnsi"/>
          <w:b w:val="0"/>
          <w:bCs w:val="0"/>
          <w:sz w:val="18"/>
          <w:szCs w:val="18"/>
          <w:lang w:val="en-GB"/>
        </w:rPr>
        <w:t xml:space="preserve"> </w:t>
      </w:r>
      <w:r w:rsidRPr="00862765">
        <w:rPr>
          <w:rFonts w:asciiTheme="minorHAnsi" w:hAnsiTheme="minorHAnsi" w:cstheme="minorHAnsi"/>
          <w:b w:val="0"/>
          <w:bCs w:val="0"/>
          <w:sz w:val="18"/>
          <w:szCs w:val="18"/>
        </w:rPr>
        <w:t>The HERV-K102 innate immunity host defense system against emerging RNA viruses potentially enhanced in COVID-19 by ivermectin. (manuscript in preparation).</w:t>
      </w:r>
    </w:p>
    <w:p w14:paraId="3F779897" w14:textId="4EF21D1A" w:rsidR="00862765" w:rsidRPr="00862765" w:rsidRDefault="00862765" w:rsidP="00862765">
      <w:pPr>
        <w:rPr>
          <w:rFonts w:asciiTheme="minorHAnsi" w:hAnsiTheme="minorHAnsi" w:cstheme="minorHAnsi"/>
          <w:sz w:val="18"/>
          <w:szCs w:val="18"/>
        </w:rPr>
      </w:pPr>
      <w:r w:rsidRPr="00862765">
        <w:rPr>
          <w:rFonts w:asciiTheme="minorHAnsi" w:hAnsiTheme="minorHAnsi" w:cstheme="minorHAnsi"/>
          <w:b/>
          <w:bCs/>
          <w:sz w:val="18"/>
          <w:szCs w:val="18"/>
        </w:rPr>
        <w:t>Laderoute MP.</w:t>
      </w:r>
      <w:r w:rsidRPr="00862765">
        <w:rPr>
          <w:rFonts w:asciiTheme="minorHAnsi" w:hAnsiTheme="minorHAnsi" w:cstheme="minorHAnsi"/>
          <w:sz w:val="18"/>
          <w:szCs w:val="18"/>
        </w:rPr>
        <w:t xml:space="preserve"> The paradigm of immunosenescence in atherosclerosis-cardiovascular disease (ASCVD). </w:t>
      </w:r>
      <w:r w:rsidRPr="00862765">
        <w:rPr>
          <w:rFonts w:asciiTheme="minorHAnsi" w:hAnsiTheme="minorHAnsi" w:cstheme="minorHAnsi"/>
          <w:color w:val="0033CC"/>
          <w:sz w:val="18"/>
          <w:szCs w:val="18"/>
        </w:rPr>
        <w:t xml:space="preserve"> </w:t>
      </w:r>
      <w:r w:rsidRPr="00862765">
        <w:rPr>
          <w:rFonts w:asciiTheme="minorHAnsi" w:hAnsiTheme="minorHAnsi" w:cstheme="minorHAnsi"/>
          <w:i/>
          <w:iCs/>
          <w:sz w:val="18"/>
          <w:szCs w:val="18"/>
        </w:rPr>
        <w:t>Discovery Medicine</w:t>
      </w:r>
      <w:r w:rsidRPr="00862765">
        <w:rPr>
          <w:rFonts w:asciiTheme="minorHAnsi" w:hAnsiTheme="minorHAnsi" w:cstheme="minorHAnsi"/>
          <w:sz w:val="18"/>
          <w:szCs w:val="18"/>
        </w:rPr>
        <w:t xml:space="preserve"> 2020, 29 (156): 41-51. </w:t>
      </w:r>
    </w:p>
    <w:p w14:paraId="4E47A4D1" w14:textId="099CEC1D" w:rsidR="00862765" w:rsidRPr="00862765" w:rsidRDefault="00862765" w:rsidP="00862765">
      <w:pPr>
        <w:autoSpaceDE w:val="0"/>
        <w:autoSpaceDN w:val="0"/>
        <w:adjustRightInd w:val="0"/>
        <w:rPr>
          <w:rFonts w:asciiTheme="minorHAnsi" w:hAnsiTheme="minorHAnsi" w:cstheme="minorHAnsi"/>
          <w:sz w:val="18"/>
          <w:szCs w:val="18"/>
        </w:rPr>
      </w:pPr>
      <w:r w:rsidRPr="00862765">
        <w:rPr>
          <w:rFonts w:asciiTheme="minorHAnsi" w:hAnsiTheme="minorHAnsi" w:cstheme="minorHAnsi"/>
          <w:b/>
          <w:bCs/>
          <w:sz w:val="18"/>
          <w:szCs w:val="18"/>
        </w:rPr>
        <w:t>Laderoute M.</w:t>
      </w:r>
      <w:r w:rsidRPr="00862765">
        <w:rPr>
          <w:rFonts w:asciiTheme="minorHAnsi" w:hAnsiTheme="minorHAnsi" w:cstheme="minorHAnsi"/>
          <w:sz w:val="18"/>
          <w:szCs w:val="18"/>
        </w:rPr>
        <w:t xml:space="preserve"> Clues to finding correlates of risk/protection for HIV-1 vaccines </w:t>
      </w:r>
      <w:r w:rsidRPr="00862765">
        <w:rPr>
          <w:rFonts w:asciiTheme="minorHAnsi" w:hAnsiTheme="minorHAnsi" w:cstheme="minorHAnsi"/>
          <w:i/>
          <w:iCs/>
          <w:sz w:val="18"/>
          <w:szCs w:val="18"/>
        </w:rPr>
        <w:t xml:space="preserve">F1000 Research </w:t>
      </w:r>
      <w:r w:rsidRPr="00862765">
        <w:rPr>
          <w:rFonts w:asciiTheme="minorHAnsi" w:hAnsiTheme="minorHAnsi" w:cstheme="minorHAnsi"/>
          <w:sz w:val="18"/>
          <w:szCs w:val="18"/>
        </w:rPr>
        <w:t xml:space="preserve">2018, 6:868 (doi: 10.12688/f1000research.11818.2). </w:t>
      </w:r>
      <w:hyperlink r:id="rId4" w:history="1">
        <w:r w:rsidRPr="00862765">
          <w:rPr>
            <w:rStyle w:val="Hyperlink"/>
            <w:rFonts w:asciiTheme="minorHAnsi" w:hAnsiTheme="minorHAnsi" w:cstheme="minorHAnsi"/>
            <w:sz w:val="18"/>
            <w:szCs w:val="18"/>
            <w:u w:val="none"/>
          </w:rPr>
          <w:t>https://f1000research.com/articles/6-868</w:t>
        </w:r>
      </w:hyperlink>
    </w:p>
    <w:p w14:paraId="5881D958" w14:textId="5E1D6A23" w:rsidR="00862765" w:rsidRPr="00862765" w:rsidRDefault="00862765" w:rsidP="00862765">
      <w:pPr>
        <w:pStyle w:val="FootnoteText"/>
        <w:rPr>
          <w:rFonts w:asciiTheme="minorHAnsi" w:hAnsiTheme="minorHAnsi" w:cstheme="minorHAnsi"/>
          <w:sz w:val="18"/>
          <w:szCs w:val="18"/>
        </w:rPr>
      </w:pPr>
      <w:r w:rsidRPr="00862765">
        <w:rPr>
          <w:rFonts w:asciiTheme="minorHAnsi" w:hAnsiTheme="minorHAnsi" w:cstheme="minorHAnsi"/>
          <w:b/>
          <w:bCs/>
          <w:sz w:val="18"/>
          <w:szCs w:val="18"/>
          <w:lang w:val="en-CA"/>
        </w:rPr>
        <w:t>Laderoute MP</w:t>
      </w:r>
      <w:r w:rsidRPr="00862765">
        <w:rPr>
          <w:rFonts w:asciiTheme="minorHAnsi" w:hAnsiTheme="minorHAnsi" w:cstheme="minorHAnsi"/>
          <w:sz w:val="18"/>
          <w:szCs w:val="18"/>
          <w:lang w:val="en-CA"/>
        </w:rPr>
        <w:t xml:space="preserve">. </w:t>
      </w:r>
      <w:r w:rsidRPr="00862765">
        <w:rPr>
          <w:rFonts w:asciiTheme="minorHAnsi" w:hAnsiTheme="minorHAnsi" w:cstheme="minorHAnsi"/>
          <w:sz w:val="18"/>
          <w:szCs w:val="18"/>
        </w:rPr>
        <w:t xml:space="preserve">A new paradigm about HERV-K102 particle production and blocked release to explain cortisol mediated immunosenescence and age-associated risk of chronic disease. </w:t>
      </w:r>
      <w:r w:rsidRPr="00862765">
        <w:rPr>
          <w:rFonts w:asciiTheme="minorHAnsi" w:hAnsiTheme="minorHAnsi" w:cstheme="minorHAnsi"/>
          <w:i/>
          <w:sz w:val="18"/>
          <w:szCs w:val="18"/>
        </w:rPr>
        <w:t>Discovery Medicine</w:t>
      </w:r>
      <w:r w:rsidRPr="00862765">
        <w:rPr>
          <w:rFonts w:asciiTheme="minorHAnsi" w:hAnsiTheme="minorHAnsi" w:cstheme="minorHAnsi"/>
          <w:sz w:val="18"/>
          <w:szCs w:val="18"/>
        </w:rPr>
        <w:t xml:space="preserve"> </w:t>
      </w:r>
      <w:r w:rsidRPr="00862765">
        <w:rPr>
          <w:rFonts w:asciiTheme="minorHAnsi" w:hAnsiTheme="minorHAnsi" w:cstheme="minorHAnsi"/>
          <w:i/>
          <w:sz w:val="18"/>
          <w:szCs w:val="18"/>
        </w:rPr>
        <w:t xml:space="preserve">2015, </w:t>
      </w:r>
      <w:r w:rsidRPr="00862765">
        <w:rPr>
          <w:rFonts w:asciiTheme="minorHAnsi" w:hAnsiTheme="minorHAnsi" w:cstheme="minorHAnsi"/>
          <w:sz w:val="18"/>
          <w:szCs w:val="18"/>
        </w:rPr>
        <w:t xml:space="preserve">20 (112): 379-391.  </w:t>
      </w:r>
    </w:p>
    <w:p w14:paraId="45E914C0" w14:textId="1D14BE12" w:rsidR="00862765" w:rsidRPr="00862765" w:rsidRDefault="00862765" w:rsidP="00862765">
      <w:pPr>
        <w:pStyle w:val="FootnoteText"/>
        <w:rPr>
          <w:rFonts w:asciiTheme="minorHAnsi" w:hAnsiTheme="minorHAnsi" w:cstheme="minorHAnsi"/>
          <w:sz w:val="18"/>
          <w:szCs w:val="18"/>
        </w:rPr>
      </w:pPr>
      <w:r w:rsidRPr="00862765">
        <w:rPr>
          <w:rFonts w:asciiTheme="minorHAnsi" w:hAnsiTheme="minorHAnsi" w:cstheme="minorHAnsi"/>
          <w:b/>
          <w:bCs/>
          <w:sz w:val="18"/>
          <w:szCs w:val="18"/>
        </w:rPr>
        <w:t xml:space="preserve">Laderoute MP, </w:t>
      </w:r>
      <w:r w:rsidRPr="00862765">
        <w:rPr>
          <w:rFonts w:asciiTheme="minorHAnsi" w:hAnsiTheme="minorHAnsi" w:cstheme="minorHAnsi"/>
          <w:b/>
          <w:bCs/>
          <w:sz w:val="18"/>
          <w:szCs w:val="18"/>
          <w:shd w:val="clear" w:color="auto" w:fill="FFFFFF"/>
        </w:rPr>
        <w:t>Larocque LJ, Giulivi A, Diaz-Mitoma F.</w:t>
      </w:r>
      <w:r w:rsidRPr="00862765">
        <w:rPr>
          <w:rFonts w:asciiTheme="minorHAnsi" w:hAnsiTheme="minorHAnsi" w:cstheme="minorHAnsi"/>
          <w:sz w:val="18"/>
          <w:szCs w:val="18"/>
        </w:rPr>
        <w:t xml:space="preserve">  F</w:t>
      </w:r>
      <w:hyperlink r:id="rId5" w:history="1">
        <w:r w:rsidRPr="00862765">
          <w:rPr>
            <w:rStyle w:val="Hyperlink"/>
            <w:rFonts w:asciiTheme="minorHAnsi" w:hAnsiTheme="minorHAnsi" w:cstheme="minorHAnsi"/>
            <w:sz w:val="18"/>
            <w:szCs w:val="18"/>
            <w:u w:val="none"/>
          </w:rPr>
          <w:t>urther evidence that human endogenous retrovirus K102 is a replication competent foamy virus that may antagonize HIV-1 replication.</w:t>
        </w:r>
      </w:hyperlink>
      <w:r w:rsidRPr="00862765">
        <w:rPr>
          <w:rFonts w:asciiTheme="minorHAnsi" w:hAnsiTheme="minorHAnsi" w:cstheme="minorHAnsi"/>
          <w:sz w:val="18"/>
          <w:szCs w:val="18"/>
        </w:rPr>
        <w:t xml:space="preserve"> </w:t>
      </w:r>
      <w:r w:rsidRPr="00862765">
        <w:rPr>
          <w:rStyle w:val="jrnl"/>
          <w:rFonts w:asciiTheme="minorHAnsi" w:hAnsiTheme="minorHAnsi" w:cstheme="minorHAnsi"/>
          <w:i/>
          <w:iCs/>
          <w:sz w:val="18"/>
          <w:szCs w:val="18"/>
        </w:rPr>
        <w:t>Open AIDS J</w:t>
      </w:r>
      <w:r w:rsidRPr="00862765">
        <w:rPr>
          <w:rFonts w:asciiTheme="minorHAnsi" w:hAnsiTheme="minorHAnsi" w:cstheme="minorHAnsi"/>
          <w:sz w:val="18"/>
          <w:szCs w:val="18"/>
        </w:rPr>
        <w:t xml:space="preserve">. </w:t>
      </w:r>
      <w:r w:rsidRPr="00862765">
        <w:rPr>
          <w:rFonts w:asciiTheme="minorHAnsi" w:hAnsiTheme="minorHAnsi" w:cstheme="minorHAnsi"/>
          <w:b/>
          <w:bCs/>
          <w:sz w:val="18"/>
          <w:szCs w:val="18"/>
        </w:rPr>
        <w:t>9</w:t>
      </w:r>
      <w:r w:rsidRPr="00862765">
        <w:rPr>
          <w:rFonts w:asciiTheme="minorHAnsi" w:hAnsiTheme="minorHAnsi" w:cstheme="minorHAnsi"/>
          <w:sz w:val="18"/>
          <w:szCs w:val="18"/>
        </w:rPr>
        <w:t>:112-22 (2015).</w:t>
      </w:r>
    </w:p>
    <w:p w14:paraId="220AB399" w14:textId="77777777" w:rsidR="00862765" w:rsidRPr="00862765" w:rsidRDefault="00862765" w:rsidP="00862765">
      <w:pPr>
        <w:pStyle w:val="Title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18"/>
          <w:szCs w:val="18"/>
        </w:rPr>
      </w:pPr>
      <w:r w:rsidRPr="00862765">
        <w:rPr>
          <w:rFonts w:asciiTheme="minorHAnsi" w:hAnsiTheme="minorHAnsi" w:cstheme="minorHAnsi"/>
          <w:b/>
          <w:bCs/>
          <w:sz w:val="18"/>
          <w:szCs w:val="18"/>
        </w:rPr>
        <w:t xml:space="preserve">Laderoute MP, </w:t>
      </w:r>
      <w:r w:rsidRPr="00862765">
        <w:rPr>
          <w:rFonts w:asciiTheme="minorHAnsi" w:hAnsiTheme="minorHAnsi" w:cstheme="minorHAnsi"/>
          <w:b/>
          <w:bCs/>
          <w:sz w:val="18"/>
          <w:szCs w:val="18"/>
          <w:shd w:val="clear" w:color="auto" w:fill="FFFFFF"/>
        </w:rPr>
        <w:t>Giulivi A, Larocque L, Bellfoy D, Hou Y, Wu HX, Fowke K, Wu J, Diaz-Mitoma F</w:t>
      </w:r>
      <w:r w:rsidRPr="00862765">
        <w:rPr>
          <w:rFonts w:asciiTheme="minorHAnsi" w:hAnsiTheme="minorHAnsi" w:cstheme="minorHAnsi"/>
          <w:sz w:val="18"/>
          <w:szCs w:val="18"/>
          <w:shd w:val="clear" w:color="auto" w:fill="FFFFFF"/>
        </w:rPr>
        <w:t>.</w:t>
      </w:r>
      <w:r w:rsidRPr="00862765">
        <w:rPr>
          <w:rFonts w:asciiTheme="minorHAnsi" w:hAnsiTheme="minorHAnsi" w:cstheme="minorHAnsi"/>
          <w:sz w:val="18"/>
          <w:szCs w:val="18"/>
        </w:rPr>
        <w:t xml:space="preserve"> </w:t>
      </w:r>
      <w:hyperlink r:id="rId6" w:history="1">
        <w:r w:rsidRPr="00862765">
          <w:rPr>
            <w:rStyle w:val="Hyperlink"/>
            <w:rFonts w:asciiTheme="minorHAnsi" w:hAnsiTheme="minorHAnsi" w:cstheme="minorHAnsi"/>
            <w:sz w:val="18"/>
            <w:szCs w:val="18"/>
            <w:u w:val="none"/>
          </w:rPr>
          <w:t>The replicative activity of human endogenous retrovirus K102 (HERV-K102) with HIV viremia.</w:t>
        </w:r>
      </w:hyperlink>
      <w:r w:rsidRPr="00862765">
        <w:rPr>
          <w:rFonts w:asciiTheme="minorHAnsi" w:hAnsiTheme="minorHAnsi" w:cstheme="minorHAnsi"/>
          <w:sz w:val="18"/>
          <w:szCs w:val="18"/>
        </w:rPr>
        <w:t xml:space="preserve">  </w:t>
      </w:r>
      <w:r w:rsidRPr="00862765">
        <w:rPr>
          <w:rStyle w:val="jrnl"/>
          <w:rFonts w:asciiTheme="minorHAnsi" w:eastAsiaTheme="majorEastAsia" w:hAnsiTheme="minorHAnsi" w:cstheme="minorHAnsi"/>
          <w:i/>
          <w:iCs/>
          <w:sz w:val="18"/>
          <w:szCs w:val="18"/>
        </w:rPr>
        <w:t>AIDS</w:t>
      </w:r>
      <w:r w:rsidRPr="00862765">
        <w:rPr>
          <w:rFonts w:asciiTheme="minorHAnsi" w:hAnsiTheme="minorHAnsi" w:cstheme="minorHAnsi"/>
          <w:i/>
          <w:iCs/>
          <w:sz w:val="18"/>
          <w:szCs w:val="18"/>
        </w:rPr>
        <w:t>.</w:t>
      </w:r>
      <w:r w:rsidRPr="00862765">
        <w:rPr>
          <w:rFonts w:asciiTheme="minorHAnsi" w:hAnsiTheme="minorHAnsi" w:cstheme="minorHAnsi"/>
          <w:sz w:val="18"/>
          <w:szCs w:val="18"/>
        </w:rPr>
        <w:t xml:space="preserve"> 2007 Nov 30;21(18):2417-24.</w:t>
      </w:r>
    </w:p>
    <w:p w14:paraId="3FCC7754" w14:textId="77777777" w:rsidR="00862765" w:rsidRPr="00862765" w:rsidRDefault="00862765" w:rsidP="00862765">
      <w:pPr>
        <w:pStyle w:val="FootnoteText"/>
        <w:rPr>
          <w:rFonts w:asciiTheme="minorHAnsi" w:hAnsiTheme="minorHAnsi" w:cstheme="minorHAnsi"/>
          <w:sz w:val="18"/>
          <w:szCs w:val="18"/>
        </w:rPr>
      </w:pPr>
    </w:p>
    <w:bookmarkEnd w:id="2"/>
    <w:p w14:paraId="297DAABD" w14:textId="77777777" w:rsidR="00862765" w:rsidRPr="00862765" w:rsidRDefault="00862765" w:rsidP="00862765">
      <w:pPr>
        <w:pStyle w:val="FootnoteText"/>
        <w:rPr>
          <w:rFonts w:asciiTheme="minorHAnsi" w:hAnsiTheme="minorHAnsi" w:cstheme="minorHAnsi"/>
          <w:sz w:val="18"/>
          <w:szCs w:val="18"/>
          <w:lang w:val="en-CA"/>
        </w:rPr>
      </w:pPr>
    </w:p>
    <w:p w14:paraId="6FF1D4C2" w14:textId="77777777" w:rsidR="00FD4C07" w:rsidRDefault="00FD4C07" w:rsidP="00862765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noProof/>
          <w:sz w:val="18"/>
          <w:szCs w:val="18"/>
        </w:rPr>
        <w:lastRenderedPageBreak/>
        <w:drawing>
          <wp:inline distT="0" distB="0" distL="0" distR="0" wp14:anchorId="6750CDAE" wp14:editId="1E387AFC">
            <wp:extent cx="3455129" cy="4496835"/>
            <wp:effectExtent l="0" t="0" r="0" b="0"/>
            <wp:docPr id="1" name="Picture 1" descr="A picture containing person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person, perso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4681" cy="4522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2F7A6" w14:textId="77777777" w:rsidR="00FD4C07" w:rsidRDefault="00FD4C07" w:rsidP="00862765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Biography (150 words)</w:t>
      </w:r>
    </w:p>
    <w:p w14:paraId="14D7B12D" w14:textId="7945B043" w:rsidR="00862765" w:rsidRPr="00862765" w:rsidRDefault="00FD4C07" w:rsidP="00892A90">
      <w:pPr>
        <w:rPr>
          <w:rFonts w:asciiTheme="minorHAnsi" w:hAnsiTheme="minorHAnsi" w:cstheme="minorHAnsi"/>
          <w:b/>
          <w:bCs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Dr. Laderoute is currently a voluntary consultant for</w:t>
      </w:r>
      <w:r w:rsidR="00547F3D">
        <w:rPr>
          <w:rFonts w:asciiTheme="minorHAnsi" w:hAnsiTheme="minorHAnsi" w:cstheme="minorHAnsi"/>
          <w:sz w:val="18"/>
          <w:szCs w:val="18"/>
        </w:rPr>
        <w:t xml:space="preserve"> ISM-</w:t>
      </w:r>
      <w:r>
        <w:rPr>
          <w:rFonts w:asciiTheme="minorHAnsi" w:hAnsiTheme="minorHAnsi" w:cstheme="minorHAnsi"/>
          <w:sz w:val="18"/>
          <w:szCs w:val="18"/>
        </w:rPr>
        <w:t>Immune System Management in Ottawa</w:t>
      </w:r>
      <w:r w:rsidR="0092251D">
        <w:rPr>
          <w:rFonts w:asciiTheme="minorHAnsi" w:hAnsiTheme="minorHAnsi" w:cstheme="minorHAnsi"/>
          <w:sz w:val="18"/>
          <w:szCs w:val="18"/>
        </w:rPr>
        <w:t>.</w:t>
      </w:r>
      <w:r w:rsidR="00B915BE">
        <w:rPr>
          <w:rFonts w:asciiTheme="minorHAnsi" w:hAnsiTheme="minorHAnsi" w:cstheme="minorHAnsi"/>
          <w:sz w:val="18"/>
          <w:szCs w:val="18"/>
        </w:rPr>
        <w:t xml:space="preserve">  She was the</w:t>
      </w:r>
      <w:r>
        <w:rPr>
          <w:rFonts w:asciiTheme="minorHAnsi" w:hAnsiTheme="minorHAnsi" w:cstheme="minorHAnsi"/>
          <w:sz w:val="18"/>
          <w:szCs w:val="18"/>
        </w:rPr>
        <w:t xml:space="preserve"> Lab Director from 2011 to 2020</w:t>
      </w:r>
      <w:r w:rsidR="00B915BE">
        <w:rPr>
          <w:rFonts w:asciiTheme="minorHAnsi" w:hAnsiTheme="minorHAnsi" w:cstheme="minorHAnsi"/>
          <w:sz w:val="18"/>
          <w:szCs w:val="18"/>
        </w:rPr>
        <w:t xml:space="preserve"> </w:t>
      </w:r>
      <w:r w:rsidR="00892A90">
        <w:rPr>
          <w:rFonts w:asciiTheme="minorHAnsi" w:hAnsiTheme="minorHAnsi" w:cstheme="minorHAnsi"/>
          <w:sz w:val="18"/>
          <w:szCs w:val="18"/>
        </w:rPr>
        <w:t>where she</w:t>
      </w:r>
      <w:r w:rsidR="00B915BE">
        <w:rPr>
          <w:rFonts w:asciiTheme="minorHAnsi" w:hAnsiTheme="minorHAnsi" w:cstheme="minorHAnsi"/>
          <w:sz w:val="18"/>
          <w:szCs w:val="18"/>
        </w:rPr>
        <w:t xml:space="preserve"> was inspired to publish the new immunosenescence paradigm</w:t>
      </w:r>
      <w:r w:rsidR="00892A90">
        <w:rPr>
          <w:rFonts w:asciiTheme="minorHAnsi" w:hAnsiTheme="minorHAnsi" w:cstheme="minorHAnsi"/>
          <w:sz w:val="18"/>
          <w:szCs w:val="18"/>
        </w:rPr>
        <w:t>.</w:t>
      </w:r>
      <w:r>
        <w:rPr>
          <w:rFonts w:asciiTheme="minorHAnsi" w:hAnsiTheme="minorHAnsi" w:cstheme="minorHAnsi"/>
          <w:sz w:val="18"/>
          <w:szCs w:val="18"/>
        </w:rPr>
        <w:t xml:space="preserve"> Prior to this she was Research Manager</w:t>
      </w:r>
      <w:r w:rsidR="00B915BE">
        <w:rPr>
          <w:rFonts w:asciiTheme="minorHAnsi" w:hAnsiTheme="minorHAnsi" w:cstheme="minorHAnsi"/>
          <w:sz w:val="18"/>
          <w:szCs w:val="18"/>
        </w:rPr>
        <w:t xml:space="preserve"> of the Blood Zoonotics Unit at the Public Health Agency of Canada when she discovered HERV-K102 as a protector foamy virus of humans</w:t>
      </w:r>
      <w:r w:rsidR="0092251D">
        <w:rPr>
          <w:rFonts w:asciiTheme="minorHAnsi" w:hAnsiTheme="minorHAnsi" w:cstheme="minorHAnsi"/>
          <w:sz w:val="18"/>
          <w:szCs w:val="18"/>
        </w:rPr>
        <w:t xml:space="preserve"> (</w:t>
      </w:r>
      <w:r w:rsidR="00B915BE">
        <w:rPr>
          <w:rFonts w:asciiTheme="minorHAnsi" w:hAnsiTheme="minorHAnsi" w:cstheme="minorHAnsi"/>
          <w:sz w:val="18"/>
          <w:szCs w:val="18"/>
        </w:rPr>
        <w:t xml:space="preserve">internationally patented </w:t>
      </w:r>
      <w:r w:rsidR="0092251D">
        <w:rPr>
          <w:rFonts w:asciiTheme="minorHAnsi" w:hAnsiTheme="minorHAnsi" w:cstheme="minorHAnsi"/>
          <w:sz w:val="18"/>
          <w:szCs w:val="18"/>
        </w:rPr>
        <w:t xml:space="preserve">but </w:t>
      </w:r>
      <w:r w:rsidR="00B915BE">
        <w:rPr>
          <w:rFonts w:asciiTheme="minorHAnsi" w:hAnsiTheme="minorHAnsi" w:cstheme="minorHAnsi"/>
          <w:sz w:val="18"/>
          <w:szCs w:val="18"/>
        </w:rPr>
        <w:t>now abandoned). She obtained her Ph.D. in Medical Sciences-Immunology at the University of Alberta in 1991. She published a unified theory of cancer in 1994 based on her Ph</w:t>
      </w:r>
      <w:r w:rsidR="00892A90">
        <w:rPr>
          <w:rFonts w:asciiTheme="minorHAnsi" w:hAnsiTheme="minorHAnsi" w:cstheme="minorHAnsi"/>
          <w:sz w:val="18"/>
          <w:szCs w:val="18"/>
        </w:rPr>
        <w:t>.</w:t>
      </w:r>
      <w:r w:rsidR="00B915BE">
        <w:rPr>
          <w:rFonts w:asciiTheme="minorHAnsi" w:hAnsiTheme="minorHAnsi" w:cstheme="minorHAnsi"/>
          <w:sz w:val="18"/>
          <w:szCs w:val="18"/>
        </w:rPr>
        <w:t>D</w:t>
      </w:r>
      <w:r w:rsidR="00892A90">
        <w:rPr>
          <w:rFonts w:asciiTheme="minorHAnsi" w:hAnsiTheme="minorHAnsi" w:cstheme="minorHAnsi"/>
          <w:sz w:val="18"/>
          <w:szCs w:val="18"/>
        </w:rPr>
        <w:t>.</w:t>
      </w:r>
      <w:r w:rsidR="00B915BE">
        <w:rPr>
          <w:rFonts w:asciiTheme="minorHAnsi" w:hAnsiTheme="minorHAnsi" w:cstheme="minorHAnsi"/>
          <w:sz w:val="18"/>
          <w:szCs w:val="18"/>
        </w:rPr>
        <w:t xml:space="preserve"> discovery of the 67 </w:t>
      </w:r>
      <w:proofErr w:type="spellStart"/>
      <w:r w:rsidR="00B915BE">
        <w:rPr>
          <w:rFonts w:asciiTheme="minorHAnsi" w:hAnsiTheme="minorHAnsi" w:cstheme="minorHAnsi"/>
          <w:sz w:val="18"/>
          <w:szCs w:val="18"/>
        </w:rPr>
        <w:t>Kd</w:t>
      </w:r>
      <w:proofErr w:type="spellEnd"/>
      <w:r w:rsidR="00B915BE">
        <w:rPr>
          <w:rFonts w:asciiTheme="minorHAnsi" w:hAnsiTheme="minorHAnsi" w:cstheme="minorHAnsi"/>
          <w:sz w:val="18"/>
          <w:szCs w:val="18"/>
        </w:rPr>
        <w:t xml:space="preserve"> AFP receptor/binding protein</w:t>
      </w:r>
      <w:r w:rsidR="00547F3D">
        <w:rPr>
          <w:rFonts w:asciiTheme="minorHAnsi" w:hAnsiTheme="minorHAnsi" w:cstheme="minorHAnsi"/>
          <w:sz w:val="18"/>
          <w:szCs w:val="18"/>
        </w:rPr>
        <w:t xml:space="preserve"> in tumors and macrophages</w:t>
      </w:r>
      <w:r w:rsidR="00B915BE">
        <w:rPr>
          <w:rFonts w:asciiTheme="minorHAnsi" w:hAnsiTheme="minorHAnsi" w:cstheme="minorHAnsi"/>
          <w:sz w:val="18"/>
          <w:szCs w:val="18"/>
        </w:rPr>
        <w:t xml:space="preserve">, which attempted to explain how the malignant </w:t>
      </w:r>
      <w:r w:rsidR="00B915BE" w:rsidRPr="00547F3D">
        <w:rPr>
          <w:rFonts w:asciiTheme="minorHAnsi" w:hAnsiTheme="minorHAnsi" w:cstheme="minorHAnsi"/>
          <w:i/>
          <w:iCs/>
          <w:sz w:val="18"/>
          <w:szCs w:val="18"/>
        </w:rPr>
        <w:t>phenotype</w:t>
      </w:r>
      <w:r w:rsidR="00B915BE">
        <w:rPr>
          <w:rFonts w:asciiTheme="minorHAnsi" w:hAnsiTheme="minorHAnsi" w:cstheme="minorHAnsi"/>
          <w:sz w:val="18"/>
          <w:szCs w:val="18"/>
        </w:rPr>
        <w:t xml:space="preserve"> of tumors related to immunosuppression of the host</w:t>
      </w:r>
      <w:r w:rsidR="00892A90">
        <w:rPr>
          <w:rFonts w:asciiTheme="minorHAnsi" w:hAnsiTheme="minorHAnsi" w:cstheme="minorHAnsi"/>
          <w:sz w:val="18"/>
          <w:szCs w:val="18"/>
        </w:rPr>
        <w:t xml:space="preserve"> via active AFP</w:t>
      </w:r>
      <w:r w:rsidR="00B915BE">
        <w:rPr>
          <w:rFonts w:asciiTheme="minorHAnsi" w:hAnsiTheme="minorHAnsi" w:cstheme="minorHAnsi"/>
          <w:sz w:val="18"/>
          <w:szCs w:val="18"/>
        </w:rPr>
        <w:t>.</w:t>
      </w:r>
      <w:r w:rsidR="00547F3D">
        <w:rPr>
          <w:rFonts w:asciiTheme="minorHAnsi" w:hAnsiTheme="minorHAnsi" w:cstheme="minorHAnsi"/>
          <w:sz w:val="18"/>
          <w:szCs w:val="18"/>
        </w:rPr>
        <w:t xml:space="preserve"> </w:t>
      </w:r>
      <w:r w:rsidR="00892A90">
        <w:rPr>
          <w:rFonts w:asciiTheme="minorHAnsi" w:hAnsiTheme="minorHAnsi" w:cstheme="minorHAnsi"/>
          <w:sz w:val="18"/>
          <w:szCs w:val="18"/>
        </w:rPr>
        <w:t>While t</w:t>
      </w:r>
      <w:r w:rsidR="00547F3D">
        <w:rPr>
          <w:rFonts w:asciiTheme="minorHAnsi" w:hAnsiTheme="minorHAnsi" w:cstheme="minorHAnsi"/>
          <w:sz w:val="18"/>
          <w:szCs w:val="18"/>
        </w:rPr>
        <w:t>his was considered heretical</w:t>
      </w:r>
      <w:r w:rsidR="00892A90">
        <w:rPr>
          <w:rFonts w:asciiTheme="minorHAnsi" w:hAnsiTheme="minorHAnsi" w:cstheme="minorHAnsi"/>
          <w:sz w:val="18"/>
          <w:szCs w:val="18"/>
        </w:rPr>
        <w:t xml:space="preserve"> at the time, new evidence with CCR5 blockers </w:t>
      </w:r>
      <w:r w:rsidR="0092251D">
        <w:rPr>
          <w:rFonts w:asciiTheme="minorHAnsi" w:hAnsiTheme="minorHAnsi" w:cstheme="minorHAnsi"/>
          <w:sz w:val="18"/>
          <w:szCs w:val="18"/>
        </w:rPr>
        <w:t xml:space="preserve">and knowledge of reversible EMT </w:t>
      </w:r>
      <w:r w:rsidR="00892A90">
        <w:rPr>
          <w:rFonts w:asciiTheme="minorHAnsi" w:hAnsiTheme="minorHAnsi" w:cstheme="minorHAnsi"/>
          <w:sz w:val="18"/>
          <w:szCs w:val="18"/>
        </w:rPr>
        <w:t xml:space="preserve">now suggests she may have been correct. </w:t>
      </w:r>
      <w:r w:rsidR="00547F3D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4B4B2373" w14:textId="77777777" w:rsidR="00862765" w:rsidRPr="00862765" w:rsidRDefault="00862765" w:rsidP="00F14D45">
      <w:pPr>
        <w:rPr>
          <w:rFonts w:asciiTheme="minorHAnsi" w:hAnsiTheme="minorHAnsi" w:cstheme="minorHAnsi"/>
          <w:sz w:val="18"/>
          <w:szCs w:val="18"/>
        </w:rPr>
      </w:pPr>
    </w:p>
    <w:sectPr w:rsidR="00862765" w:rsidRPr="00862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roman"/>
    <w:notTrueType/>
    <w:pitch w:val="variable"/>
    <w:sig w:usb0="60000287" w:usb1="00000001" w:usb2="00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"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FC0"/>
    <w:rsid w:val="00005A8F"/>
    <w:rsid w:val="001C3B68"/>
    <w:rsid w:val="00257945"/>
    <w:rsid w:val="00283A44"/>
    <w:rsid w:val="00407A13"/>
    <w:rsid w:val="00482A63"/>
    <w:rsid w:val="004A1191"/>
    <w:rsid w:val="004D67BE"/>
    <w:rsid w:val="00547F3D"/>
    <w:rsid w:val="005E7E21"/>
    <w:rsid w:val="00715C3C"/>
    <w:rsid w:val="007E0472"/>
    <w:rsid w:val="00862765"/>
    <w:rsid w:val="00892A90"/>
    <w:rsid w:val="0092251D"/>
    <w:rsid w:val="0096311E"/>
    <w:rsid w:val="00A52A90"/>
    <w:rsid w:val="00B915BE"/>
    <w:rsid w:val="00BC3409"/>
    <w:rsid w:val="00C30354"/>
    <w:rsid w:val="00D63CB8"/>
    <w:rsid w:val="00E34D98"/>
    <w:rsid w:val="00E71FC0"/>
    <w:rsid w:val="00F14D45"/>
    <w:rsid w:val="00F176B7"/>
    <w:rsid w:val="00F65048"/>
    <w:rsid w:val="00FD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8E652"/>
  <w15:chartTrackingRefBased/>
  <w15:docId w15:val="{905270B4-5A5A-4AF2-A58F-1945A4E80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71FC0"/>
    <w:pPr>
      <w:widowControl w:val="0"/>
      <w:spacing w:after="0" w:line="240" w:lineRule="auto"/>
    </w:pPr>
    <w:rPr>
      <w:rFonts w:ascii="Tw Cen MT" w:eastAsia="Tw Cen MT" w:hAnsi="Tw Cen MT" w:cs="Tw Cen MT"/>
      <w:sz w:val="22"/>
      <w:szCs w:val="22"/>
    </w:rPr>
  </w:style>
  <w:style w:type="paragraph" w:styleId="Heading1">
    <w:name w:val="heading 1"/>
    <w:basedOn w:val="Normal"/>
    <w:link w:val="Heading1Char"/>
    <w:uiPriority w:val="1"/>
    <w:qFormat/>
    <w:rsid w:val="00E71FC0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71FC0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E71FC0"/>
    <w:rPr>
      <w:rFonts w:ascii="Tw Cen MT" w:eastAsia="Tw Cen MT" w:hAnsi="Tw Cen MT" w:cs="Tw Cen MT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1"/>
    <w:rsid w:val="00E71FC0"/>
    <w:rPr>
      <w:rFonts w:ascii="Minion Pro" w:eastAsia="Minion Pro" w:hAnsi="Minion Pro" w:cs="Minion Pro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862765"/>
    <w:rPr>
      <w:color w:val="525252" w:themeColor="accent3" w:themeShade="80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2765"/>
    <w:pPr>
      <w:widowControl/>
    </w:pPr>
    <w:rPr>
      <w:rFonts w:ascii="Constantia" w:eastAsiaTheme="minorHAnsi" w:hAnsi="Constantia" w:cstheme="minorBidi"/>
      <w:sz w:val="24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2765"/>
    <w:rPr>
      <w:rFonts w:ascii="Constantia" w:hAnsi="Constantia" w:cstheme="minorBidi"/>
      <w:sz w:val="24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62765"/>
    <w:rPr>
      <w:vertAlign w:val="superscript"/>
    </w:rPr>
  </w:style>
  <w:style w:type="character" w:customStyle="1" w:styleId="jrnl">
    <w:name w:val="jrnl"/>
    <w:basedOn w:val="DefaultParagraphFont"/>
    <w:rsid w:val="00862765"/>
  </w:style>
  <w:style w:type="paragraph" w:customStyle="1" w:styleId="Title2">
    <w:name w:val="Title2"/>
    <w:basedOn w:val="Normal"/>
    <w:rsid w:val="0086276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ubmed/18025878" TargetMode="External"/><Relationship Id="rId5" Type="http://schemas.openxmlformats.org/officeDocument/2006/relationships/hyperlink" Target="https://www.ncbi.nlm.nih.gov/pubmed/26793281" TargetMode="External"/><Relationship Id="rId4" Type="http://schemas.openxmlformats.org/officeDocument/2006/relationships/hyperlink" Target="https://f1000research.com/articles/6-86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MPL Jan 2016</dc:creator>
  <cp:keywords/>
  <dc:description/>
  <cp:lastModifiedBy>MPL Jan 2016</cp:lastModifiedBy>
  <cp:revision>6</cp:revision>
  <cp:lastPrinted>2021-02-05T17:32:00Z</cp:lastPrinted>
  <dcterms:created xsi:type="dcterms:W3CDTF">2021-02-05T15:02:00Z</dcterms:created>
  <dcterms:modified xsi:type="dcterms:W3CDTF">2021-02-05T19:18:00Z</dcterms:modified>
</cp:coreProperties>
</file>