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w:spacing w:before="170"/>
        <w:ind w:left="0" w:firstLine="0"/>
      </w:pPr>
      <w:r>
        <w:rPr>
          <w:rStyle w:val="None A"/>
          <w:rtl w:val="0"/>
        </w:rPr>
        <w:t>COVID-19 Pandemic:</w:t>
      </w:r>
      <w:r>
        <w:rPr>
          <w:u w:color="337ab7"/>
          <w:rtl w:val="0"/>
          <w:lang w:val="en-US"/>
        </w:rPr>
        <w:t xml:space="preserve"> Epidemiology in Nigerian Population</w:t>
      </w:r>
    </w:p>
    <w:p>
      <w:pPr>
        <w:pStyle w:val="Body Text"/>
        <w:spacing w:before="73" w:line="198" w:lineRule="exact"/>
        <w:ind w:left="100" w:right="5987" w:firstLine="0"/>
        <w:rPr>
          <w:rFonts w:ascii="Arial" w:cs="Arial" w:hAnsi="Arial" w:eastAsia="Arial"/>
        </w:rPr>
      </w:pPr>
      <w:r>
        <w:rPr>
          <w:rStyle w:val="None A"/>
          <w:rtl w:val="0"/>
          <w:lang w:val="en-US"/>
        </w:rPr>
        <w:t>*</w:t>
      </w:r>
      <w:r>
        <w:rPr>
          <w:rFonts w:ascii="Arial" w:hAnsi="Arial"/>
          <w:rtl w:val="0"/>
          <w:lang w:val="en-US"/>
        </w:rPr>
        <w:t>Mukesh Kumar, Okpara Everest, Ugwu A Jude, Aleke S Aloysius.</w:t>
      </w:r>
    </w:p>
    <w:p>
      <w:pPr>
        <w:pStyle w:val="Body Text"/>
        <w:spacing w:before="73" w:line="198" w:lineRule="exact"/>
        <w:ind w:left="100" w:right="5987" w:firstLine="0"/>
        <w:rPr>
          <w:rFonts w:ascii="Arial" w:cs="Arial" w:hAnsi="Arial" w:eastAsia="Arial"/>
        </w:rPr>
      </w:pPr>
      <w:r>
        <w:rPr>
          <w:rFonts w:ascii="Arial" w:hAnsi="Arial"/>
          <w:rtl w:val="0"/>
          <w:lang w:val="en-US"/>
        </w:rPr>
        <w:t>Everight Diagnostic &amp; Laboratory Services Ltd., Nigeria</w:t>
      </w:r>
    </w:p>
    <w:p>
      <w:pPr>
        <w:pStyle w:val="Body"/>
        <w:rPr>
          <w:rFonts w:ascii="Arial" w:cs="Arial" w:hAnsi="Arial" w:eastAsia="Arial"/>
        </w:rPr>
        <w:sectPr>
          <w:headerReference w:type="default" r:id="rId4"/>
          <w:footerReference w:type="default" r:id="rId5"/>
          <w:pgSz w:w="11920" w:h="16840" w:orient="portrait"/>
          <w:pgMar w:top="1740" w:right="600" w:bottom="840" w:left="620" w:header="541" w:footer="642"/>
          <w:bidi w:val="0"/>
        </w:sectPr>
      </w:pPr>
      <w:r>
        <w:rPr>
          <w:rFonts w:ascii="Arial" w:cs="Arial" w:hAnsi="Arial" w:eastAsia="Arial"/>
        </w:rPr>
      </w:r>
    </w:p>
    <w:p>
      <w:pPr>
        <w:pStyle w:val="Heading 3"/>
        <w:spacing w:before="147"/>
        <w:jc w:val="both"/>
      </w:pPr>
      <w:r>
        <w:rPr>
          <w:outline w:val="0"/>
          <w:color w:val="bf5a14"/>
          <w:u w:color="bf5a14"/>
          <w:rtl w:val="0"/>
          <w:lang w:val="en-US"/>
          <w14:textFill>
            <w14:solidFill>
              <w14:srgbClr w14:val="BF5A14"/>
            </w14:solidFill>
          </w14:textFill>
        </w:rPr>
        <w:t>Abstract (300 word limit)</w:t>
      </w:r>
    </w:p>
    <w:p>
      <w:pPr>
        <w:pStyle w:val="Body Text"/>
        <w:spacing w:before="90" w:line="280" w:lineRule="auto"/>
        <w:ind w:left="100" w:firstLine="0"/>
        <w:jc w:val="both"/>
        <w:rPr>
          <w:rStyle w:val="None A"/>
        </w:rPr>
      </w:pPr>
      <w:r>
        <w:rPr>
          <w:rStyle w:val="None A"/>
          <w:rtl w:val="0"/>
          <w:lang w:val="en-US"/>
        </w:rPr>
        <w:t xml:space="preserve">COVID-19 is a global pandemic </w:t>
      </w:r>
      <w:r>
        <w:rPr>
          <w:outline w:val="0"/>
          <w:color w:val="202122"/>
          <w:u w:color="202122"/>
          <w:rtl w:val="0"/>
          <w:lang w:val="en-US"/>
          <w14:textFill>
            <w14:solidFill>
              <w14:srgbClr w14:val="202122"/>
            </w14:solidFill>
          </w14:textFill>
        </w:rPr>
        <w:t>caused by</w:t>
      </w:r>
      <w:r>
        <w:rPr>
          <w:outline w:val="0"/>
          <w:color w:val="202122"/>
          <w:u w:color="202122"/>
          <w:rtl w:val="0"/>
          <w:lang w:val="en-US"/>
          <w14:textFill>
            <w14:solidFill>
              <w14:srgbClr w14:val="202122"/>
            </w14:solidFill>
          </w14:textFill>
        </w:rPr>
        <w:t> </w:t>
      </w:r>
      <w:r>
        <w:rPr>
          <w:rStyle w:val="None A"/>
          <w:rtl w:val="0"/>
          <w:lang w:val="en-US"/>
        </w:rPr>
        <w:t>severe acute respiratory syndrome called coronavirus</w:t>
      </w:r>
      <w:r>
        <w:rPr>
          <w:rStyle w:val="None A"/>
          <w:rtl w:val="0"/>
          <w:lang w:val="en-US"/>
        </w:rPr>
        <w:t> </w:t>
      </w:r>
      <w:r>
        <w:rPr>
          <w:rStyle w:val="None A"/>
          <w:rtl w:val="0"/>
          <w:lang w:val="en-US"/>
        </w:rPr>
        <w:t>2</w:t>
      </w:r>
      <w:r>
        <w:rPr>
          <w:outline w:val="0"/>
          <w:color w:val="202122"/>
          <w:u w:color="202122"/>
          <w:rtl w:val="0"/>
          <w:lang w:val="en-US"/>
          <w14:textFill>
            <w14:solidFill>
              <w14:srgbClr w14:val="202122"/>
            </w14:solidFill>
          </w14:textFill>
        </w:rPr>
        <w:t> </w:t>
      </w:r>
      <w:r>
        <w:rPr>
          <w:outline w:val="0"/>
          <w:color w:val="202122"/>
          <w:u w:color="202122"/>
          <w:rtl w:val="0"/>
          <w:lang w:val="en-US"/>
          <w14:textFill>
            <w14:solidFill>
              <w14:srgbClr w14:val="202122"/>
            </w14:solidFill>
          </w14:textFill>
        </w:rPr>
        <w:t>(SARS-CoV-2).</w:t>
      </w:r>
      <w:r>
        <w:rPr>
          <w:rStyle w:val="None A"/>
          <w:rtl w:val="0"/>
          <w:lang w:val="en-US"/>
        </w:rPr>
        <w:t xml:space="preserve"> According to WHO, about 103,986,863 people around the word have been infected with the virus</w:t>
      </w:r>
      <w:r>
        <w:rPr>
          <w:rStyle w:val="None A"/>
          <w:rtl w:val="0"/>
          <w:lang w:val="en-US"/>
        </w:rPr>
        <w:t xml:space="preserve"> </w:t>
      </w:r>
      <w:r>
        <w:rPr>
          <w:rStyle w:val="None A"/>
          <w:rtl w:val="0"/>
          <w:lang w:val="en-US"/>
        </w:rPr>
        <w:t xml:space="preserve">and the number is increasing exponentially. As per the data from NCDC (Nigeria Centre for Disease control), 132,000 cases have already been reported. 1607 deaths have been confirmed, which is about 0.12 percent of the entire world. </w:t>
      </w:r>
    </w:p>
    <w:p>
      <w:pPr>
        <w:pStyle w:val="Body Text"/>
        <w:spacing w:before="90" w:line="280" w:lineRule="auto"/>
        <w:ind w:left="100" w:firstLine="0"/>
        <w:jc w:val="both"/>
        <w:rPr>
          <w:rStyle w:val="None A"/>
        </w:rPr>
      </w:pPr>
      <w:r>
        <w:rPr>
          <w:b w:val="1"/>
          <w:bCs w:val="1"/>
          <w:rtl w:val="0"/>
          <w:lang w:val="en-US"/>
        </w:rPr>
        <w:t>Methology:</w:t>
      </w:r>
      <w:r>
        <w:rPr>
          <w:rStyle w:val="None A"/>
          <w:rtl w:val="0"/>
          <w:lang w:val="en-US"/>
        </w:rPr>
        <w:t xml:space="preserve"> Various diagnostic centres in Nigeria are helping the governments of Nigeria to screen the population. Diagnosis is based on a real-time PCR assay that is based on the amplification and detection of targeted genes like: E-Gene, N-Gene, ORF 1&amp;2 Gene, RdRp Gene etc. </w:t>
      </w:r>
    </w:p>
    <w:p>
      <w:pPr>
        <w:pStyle w:val="Body Text"/>
        <w:spacing w:before="90" w:line="280" w:lineRule="auto"/>
        <w:ind w:left="100" w:firstLine="0"/>
        <w:jc w:val="both"/>
        <w:rPr>
          <w:rStyle w:val="None A"/>
        </w:rPr>
      </w:pPr>
      <w:r>
        <w:rPr>
          <w:b w:val="1"/>
          <w:bCs w:val="1"/>
          <w:rtl w:val="0"/>
          <w:lang w:val="en-US"/>
        </w:rPr>
        <w:t>Experiment:</w:t>
      </w:r>
      <w:r>
        <w:rPr>
          <w:rStyle w:val="None A"/>
          <w:rtl w:val="0"/>
          <w:lang w:val="en-US"/>
        </w:rPr>
        <w:t xml:space="preserve"> In symptomatic individuals referred by various institutions, two swabs samples (Nasal &amp; throat) were collected and stored in the viral transport medium (VTM). These specimens are first inactivated in BSL-3 glove box, followed by RNA extraction. After extraction, the targeted genes are amplified with reverse transcriptase based real-time PCR. The validity of the test is confirmed through internal control (IC).   </w:t>
      </w:r>
    </w:p>
    <w:p>
      <w:pPr>
        <w:pStyle w:val="Body Text"/>
        <w:spacing w:before="90" w:line="280" w:lineRule="auto"/>
        <w:ind w:left="100" w:firstLine="0"/>
        <w:jc w:val="both"/>
        <w:rPr>
          <w:outline w:val="0"/>
          <w:color w:val="202122"/>
          <w:u w:color="202122"/>
          <w14:textFill>
            <w14:solidFill>
              <w14:srgbClr w14:val="202122"/>
            </w14:solidFill>
          </w14:textFill>
        </w:rPr>
      </w:pPr>
      <w:r>
        <w:rPr>
          <w:b w:val="1"/>
          <w:bCs w:val="1"/>
          <w:rtl w:val="0"/>
          <w:lang w:val="en-US"/>
        </w:rPr>
        <w:t>Results:</w:t>
      </w:r>
      <w:r>
        <w:rPr>
          <w:rStyle w:val="None A"/>
          <w:rtl w:val="0"/>
          <w:lang w:val="en-US"/>
        </w:rPr>
        <w:t xml:space="preserve"> Presence of amplification signal in the IC and the targeted genes confirms the presence of </w:t>
      </w:r>
      <w:r>
        <w:rPr>
          <w:outline w:val="0"/>
          <w:color w:val="202122"/>
          <w:u w:color="202122"/>
          <w:rtl w:val="0"/>
          <w:lang w:val="en-US"/>
          <w14:textFill>
            <w14:solidFill>
              <w14:srgbClr w14:val="202122"/>
            </w14:solidFill>
          </w14:textFill>
        </w:rPr>
        <w:t>SARS-CoV-2 in the tested specimen.</w:t>
      </w:r>
    </w:p>
    <w:p>
      <w:pPr>
        <w:pStyle w:val="Body Text"/>
        <w:spacing w:before="90" w:line="280" w:lineRule="auto"/>
        <w:ind w:left="100" w:firstLine="0"/>
        <w:jc w:val="both"/>
        <w:rPr>
          <w:rStyle w:val="None A"/>
        </w:rPr>
      </w:pPr>
      <w:r>
        <w:rPr>
          <w:b w:val="1"/>
          <w:bCs w:val="1"/>
          <w:rtl w:val="0"/>
          <w:lang w:val="en-US"/>
        </w:rPr>
        <w:t>Conclusion &amp; Significance</w:t>
      </w:r>
      <w:r>
        <w:rPr>
          <w:rStyle w:val="None A"/>
          <w:rtl w:val="0"/>
          <w:lang w:val="en-US"/>
        </w:rPr>
        <w:t>: About 12,605 individuals have been screened at Everight Diagnostic &amp; Laboratory Services Ltd, Nigeria.  201 were found to be positive for COVID-19. Infected individuals are referred to dedicated isolation centres and treated during a quarantine period of 14 days.</w:t>
      </w:r>
    </w:p>
    <w:p>
      <w:pPr>
        <w:pStyle w:val="Body Text"/>
        <w:spacing w:before="90" w:line="280" w:lineRule="auto"/>
        <w:ind w:left="100" w:firstLine="0"/>
        <w:jc w:val="both"/>
        <w:rPr>
          <w:rStyle w:val="None A"/>
        </w:rPr>
      </w:pPr>
    </w:p>
    <w:p>
      <w:pPr>
        <w:pStyle w:val="Body Text"/>
        <w:spacing w:before="90" w:line="280" w:lineRule="auto"/>
        <w:ind w:left="100" w:firstLine="0"/>
        <w:jc w:val="both"/>
        <w:rPr>
          <w:outline w:val="0"/>
          <w:color w:val="bf5a14"/>
          <w:u w:color="bf5a14"/>
          <w14:textFill>
            <w14:solidFill>
              <w14:srgbClr w14:val="BF5A14"/>
            </w14:solidFill>
          </w14:textFill>
        </w:rPr>
      </w:pPr>
    </w:p>
    <w:p>
      <w:pPr>
        <w:pStyle w:val="Body"/>
        <w:spacing w:line="204" w:lineRule="exact"/>
        <w:rPr>
          <w:rFonts w:ascii="Arial" w:cs="Arial" w:hAnsi="Arial" w:eastAsia="Arial"/>
          <w:b w:val="1"/>
          <w:bCs w:val="1"/>
          <w:sz w:val="20"/>
          <w:szCs w:val="20"/>
        </w:rPr>
      </w:pPr>
      <w:r>
        <w:rPr>
          <w:rFonts w:ascii="Arial" w:cs="Arial" w:hAnsi="Arial" w:eastAsia="Arial"/>
          <w:b w:val="1"/>
          <w:bCs w:val="1"/>
          <w:outline w:val="0"/>
          <w:color w:val="bf5a14"/>
          <w:sz w:val="20"/>
          <w:szCs w:val="20"/>
          <w:u w:color="bf5a14"/>
          <w14:textFill>
            <w14:solidFill>
              <w14:srgbClr w14:val="BF5A14"/>
            </w14:solidFill>
          </w14:textFill>
        </w:rPr>
        <w:br w:type="textWrapping"/>
      </w:r>
      <w:r>
        <w:rPr>
          <w:rFonts w:ascii="Arial" w:hAnsi="Arial"/>
          <w:b w:val="1"/>
          <w:bCs w:val="1"/>
          <w:outline w:val="0"/>
          <w:color w:val="bf5a14"/>
          <w:sz w:val="20"/>
          <w:szCs w:val="20"/>
          <w:u w:color="bf5a14"/>
          <w:rtl w:val="0"/>
          <w:lang w:val="en-US"/>
          <w14:textFill>
            <w14:solidFill>
              <w14:srgbClr w14:val="BF5A14"/>
            </w14:solidFill>
          </w14:textFill>
        </w:rPr>
        <w:t>Recent Publications (minimum 5)</w:t>
      </w:r>
    </w:p>
    <w:p>
      <w:pPr>
        <w:pStyle w:val="Body"/>
        <w:tabs>
          <w:tab w:val="left" w:pos="384"/>
        </w:tabs>
        <w:ind w:right="117"/>
        <w:rPr>
          <w:rFonts w:ascii="Calibri" w:cs="Calibri" w:hAnsi="Calibri" w:eastAsia="Calibri"/>
          <w:sz w:val="18"/>
          <w:szCs w:val="18"/>
        </w:rPr>
      </w:pPr>
      <w:r>
        <w:rPr>
          <w:rFonts w:ascii="Calibri" w:hAnsi="Calibri"/>
          <w:b w:val="1"/>
          <w:bCs w:val="1"/>
          <w:sz w:val="18"/>
          <w:szCs w:val="18"/>
          <w:rtl w:val="0"/>
        </w:rPr>
        <w:t>Kumar M</w:t>
      </w:r>
      <w:r>
        <w:rPr>
          <w:rFonts w:ascii="Calibri" w:hAnsi="Calibri"/>
          <w:sz w:val="18"/>
          <w:szCs w:val="18"/>
          <w:rtl w:val="0"/>
        </w:rPr>
        <w:t xml:space="preserve">, Bharathi S, Nimmakayalu M, Menon PK </w:t>
      </w:r>
      <w:r>
        <w:rPr>
          <w:rFonts w:ascii="Calibri" w:hAnsi="Calibri" w:hint="default"/>
          <w:sz w:val="18"/>
          <w:szCs w:val="18"/>
          <w:rtl w:val="0"/>
          <w:lang w:val="en-US"/>
        </w:rPr>
        <w:t>“</w:t>
      </w:r>
      <w:r>
        <w:rPr>
          <w:rFonts w:ascii="Calibri" w:hAnsi="Calibri"/>
          <w:sz w:val="18"/>
          <w:szCs w:val="18"/>
          <w:rtl w:val="0"/>
          <w:lang w:val="en-US"/>
        </w:rPr>
        <w:t>DNA sequencing and Molecular modelling of HLA-B 27 gene sub types in patients with Acute Anterior Uveitis and Ankylosing spondylitis</w:t>
      </w:r>
      <w:r>
        <w:rPr>
          <w:rFonts w:ascii="Calibri" w:hAnsi="Calibri" w:hint="default"/>
          <w:sz w:val="18"/>
          <w:szCs w:val="18"/>
          <w:rtl w:val="0"/>
          <w:lang w:val="en-US"/>
        </w:rPr>
        <w:t xml:space="preserve">” </w:t>
      </w:r>
      <w:r>
        <w:rPr>
          <w:rFonts w:ascii="Calibri" w:hAnsi="Calibri"/>
          <w:sz w:val="18"/>
          <w:szCs w:val="18"/>
          <w:rtl w:val="0"/>
        </w:rPr>
        <w:t xml:space="preserve">at </w:t>
      </w:r>
      <w:r>
        <w:rPr>
          <w:rFonts w:ascii="Calibri" w:hAnsi="Calibri" w:hint="default"/>
          <w:sz w:val="18"/>
          <w:szCs w:val="18"/>
          <w:rtl w:val="0"/>
          <w:lang w:val="en-US"/>
        </w:rPr>
        <w:t>“</w:t>
      </w:r>
      <w:r>
        <w:rPr>
          <w:rFonts w:ascii="Calibri" w:hAnsi="Calibri"/>
          <w:sz w:val="18"/>
          <w:szCs w:val="18"/>
          <w:rtl w:val="0"/>
          <w:lang w:val="en-US"/>
        </w:rPr>
        <w:t>Gulf Medical Journal</w:t>
      </w:r>
      <w:r>
        <w:rPr>
          <w:rFonts w:ascii="Calibri" w:hAnsi="Calibri" w:hint="default"/>
          <w:sz w:val="18"/>
          <w:szCs w:val="18"/>
          <w:rtl w:val="0"/>
          <w:lang w:val="en-US"/>
        </w:rPr>
        <w:t>”</w:t>
      </w:r>
      <w:r>
        <w:rPr>
          <w:rFonts w:ascii="Calibri" w:hAnsi="Calibri"/>
          <w:sz w:val="18"/>
          <w:szCs w:val="18"/>
          <w:rtl w:val="0"/>
        </w:rPr>
        <w:t>, GMJ, ASM 2015;4(S2): S83-87.</w:t>
      </w:r>
    </w:p>
    <w:p>
      <w:pPr>
        <w:pStyle w:val="Body"/>
        <w:tabs>
          <w:tab w:val="left" w:pos="384"/>
        </w:tabs>
        <w:ind w:right="117"/>
        <w:rPr>
          <w:rFonts w:ascii="Calibri" w:cs="Calibri" w:hAnsi="Calibri" w:eastAsia="Calibri"/>
          <w:sz w:val="18"/>
          <w:szCs w:val="18"/>
        </w:rPr>
      </w:pPr>
    </w:p>
    <w:p>
      <w:pPr>
        <w:pStyle w:val="Body"/>
        <w:tabs>
          <w:tab w:val="left" w:pos="384"/>
        </w:tabs>
        <w:ind w:right="117"/>
        <w:rPr>
          <w:rFonts w:ascii="Calibri" w:cs="Calibri" w:hAnsi="Calibri" w:eastAsia="Calibri"/>
          <w:sz w:val="18"/>
          <w:szCs w:val="18"/>
        </w:rPr>
      </w:pPr>
      <w:r>
        <w:rPr>
          <w:rFonts w:ascii="Calibri" w:hAnsi="Calibri"/>
          <w:sz w:val="18"/>
          <w:szCs w:val="18"/>
          <w:rtl w:val="0"/>
        </w:rPr>
        <w:t xml:space="preserve">Menon PK, </w:t>
      </w:r>
      <w:r>
        <w:rPr>
          <w:rFonts w:ascii="Calibri" w:hAnsi="Calibri"/>
          <w:b w:val="1"/>
          <w:bCs w:val="1"/>
          <w:sz w:val="18"/>
          <w:szCs w:val="18"/>
          <w:rtl w:val="0"/>
        </w:rPr>
        <w:t>Kumar M</w:t>
      </w:r>
      <w:r>
        <w:rPr>
          <w:rFonts w:ascii="Calibri" w:hAnsi="Calibri"/>
          <w:sz w:val="18"/>
          <w:szCs w:val="18"/>
          <w:rtl w:val="0"/>
        </w:rPr>
        <w:t>, Verghese R, Elbaaz Z, Sivakumar B, Edwin D'Souza I, Fasih Z and Nimmakayalu M1</w:t>
      </w:r>
      <w:r>
        <w:rPr>
          <w:rFonts w:ascii="Calibri" w:hAnsi="Calibri" w:hint="default"/>
          <w:sz w:val="18"/>
          <w:szCs w:val="18"/>
          <w:rtl w:val="0"/>
          <w:lang w:val="en-US"/>
        </w:rPr>
        <w:t xml:space="preserve">” </w:t>
      </w:r>
      <w:r>
        <w:rPr>
          <w:rFonts w:ascii="Calibri" w:hAnsi="Calibri"/>
          <w:sz w:val="18"/>
          <w:szCs w:val="18"/>
          <w:rtl w:val="0"/>
          <w:lang w:val="en-US"/>
        </w:rPr>
        <w:t>Application of a Rapid Assay to Detect Targeted Numerical and Structural Anomalies in Patient with Congenital Malformations</w:t>
      </w:r>
      <w:r>
        <w:rPr>
          <w:rFonts w:ascii="Calibri" w:hAnsi="Calibri" w:hint="default"/>
          <w:sz w:val="18"/>
          <w:szCs w:val="18"/>
          <w:rtl w:val="0"/>
          <w:lang w:val="en-US"/>
        </w:rPr>
        <w:t xml:space="preserve">” </w:t>
      </w:r>
      <w:r>
        <w:rPr>
          <w:rFonts w:ascii="Calibri" w:hAnsi="Calibri"/>
          <w:sz w:val="18"/>
          <w:szCs w:val="18"/>
          <w:rtl w:val="0"/>
        </w:rPr>
        <w:t xml:space="preserve">at </w:t>
      </w:r>
      <w:r>
        <w:rPr>
          <w:rFonts w:ascii="Calibri" w:hAnsi="Calibri" w:hint="default"/>
          <w:sz w:val="18"/>
          <w:szCs w:val="18"/>
          <w:rtl w:val="0"/>
          <w:lang w:val="en-US"/>
        </w:rPr>
        <w:t>“</w:t>
      </w:r>
      <w:r>
        <w:rPr>
          <w:rFonts w:ascii="Calibri" w:hAnsi="Calibri"/>
          <w:sz w:val="18"/>
          <w:szCs w:val="18"/>
          <w:rtl w:val="0"/>
          <w:lang w:val="en-US"/>
        </w:rPr>
        <w:t>Gulf Medical Journal</w:t>
      </w:r>
      <w:r>
        <w:rPr>
          <w:rFonts w:ascii="Calibri" w:hAnsi="Calibri" w:hint="default"/>
          <w:sz w:val="18"/>
          <w:szCs w:val="18"/>
          <w:rtl w:val="0"/>
          <w:lang w:val="en-US"/>
        </w:rPr>
        <w:t>”</w:t>
      </w:r>
      <w:r>
        <w:rPr>
          <w:rFonts w:ascii="Calibri" w:hAnsi="Calibri"/>
          <w:sz w:val="18"/>
          <w:szCs w:val="18"/>
          <w:rtl w:val="0"/>
          <w:lang w:val="en-US"/>
        </w:rPr>
        <w:t>, GMJ, ASM 2015;4(S1): S141-148.</w:t>
      </w:r>
    </w:p>
    <w:p>
      <w:pPr>
        <w:pStyle w:val="Body"/>
        <w:tabs>
          <w:tab w:val="left" w:pos="384"/>
        </w:tabs>
        <w:ind w:right="117"/>
        <w:rPr>
          <w:rFonts w:ascii="Calibri" w:cs="Calibri" w:hAnsi="Calibri" w:eastAsia="Calibri"/>
          <w:sz w:val="18"/>
          <w:szCs w:val="18"/>
        </w:rPr>
      </w:pPr>
    </w:p>
    <w:p>
      <w:pPr>
        <w:pStyle w:val="Body"/>
        <w:tabs>
          <w:tab w:val="left" w:pos="384"/>
        </w:tabs>
        <w:ind w:right="117"/>
        <w:rPr>
          <w:rFonts w:ascii="Calibri" w:cs="Calibri" w:hAnsi="Calibri" w:eastAsia="Calibri"/>
          <w:sz w:val="18"/>
          <w:szCs w:val="18"/>
        </w:rPr>
      </w:pPr>
      <w:r>
        <w:rPr>
          <w:rFonts w:ascii="Calibri" w:hAnsi="Calibri"/>
          <w:b w:val="1"/>
          <w:bCs w:val="1"/>
          <w:sz w:val="18"/>
          <w:szCs w:val="18"/>
          <w:rtl w:val="0"/>
        </w:rPr>
        <w:t>M. Kumar</w:t>
      </w:r>
      <w:r>
        <w:rPr>
          <w:rFonts w:ascii="Calibri" w:hAnsi="Calibri"/>
          <w:sz w:val="18"/>
          <w:szCs w:val="18"/>
          <w:rtl w:val="0"/>
          <w:lang w:val="nl-NL"/>
        </w:rPr>
        <w:t xml:space="preserve">, Gehad Gamal Kamel, P.K. Menon, Sunil Kumar Bylappa, Kalpana Golani, </w:t>
      </w:r>
      <w:r>
        <w:rPr>
          <w:rFonts w:ascii="Calibri" w:hAnsi="Calibri" w:hint="default"/>
          <w:sz w:val="18"/>
          <w:szCs w:val="18"/>
          <w:rtl w:val="0"/>
          <w:lang w:val="en-US"/>
        </w:rPr>
        <w:t>“</w:t>
      </w:r>
      <w:r>
        <w:rPr>
          <w:rFonts w:ascii="Calibri" w:hAnsi="Calibri"/>
          <w:sz w:val="18"/>
          <w:szCs w:val="18"/>
          <w:rtl w:val="0"/>
          <w:lang w:val="en-US"/>
        </w:rPr>
        <w:t>MOLECULAR EVALUATION OF COMMON HPV GENOTYPES IN LBC SAMPLES</w:t>
      </w:r>
      <w:r>
        <w:rPr>
          <w:rFonts w:ascii="Calibri" w:hAnsi="Calibri" w:hint="default"/>
          <w:sz w:val="18"/>
          <w:szCs w:val="18"/>
          <w:rtl w:val="0"/>
          <w:lang w:val="en-US"/>
        </w:rPr>
        <w:t xml:space="preserve">” </w:t>
      </w:r>
      <w:r>
        <w:rPr>
          <w:rFonts w:ascii="Calibri" w:hAnsi="Calibri"/>
          <w:sz w:val="18"/>
          <w:szCs w:val="18"/>
          <w:rtl w:val="0"/>
        </w:rPr>
        <w:t xml:space="preserve">at </w:t>
      </w:r>
      <w:r>
        <w:rPr>
          <w:rFonts w:ascii="Calibri" w:hAnsi="Calibri" w:hint="default"/>
          <w:sz w:val="18"/>
          <w:szCs w:val="18"/>
          <w:rtl w:val="0"/>
          <w:lang w:val="en-US"/>
        </w:rPr>
        <w:t>“</w:t>
      </w:r>
      <w:r>
        <w:rPr>
          <w:rFonts w:ascii="Calibri" w:hAnsi="Calibri"/>
          <w:sz w:val="18"/>
          <w:szCs w:val="18"/>
          <w:rtl w:val="0"/>
          <w:lang w:val="en-US"/>
        </w:rPr>
        <w:t>Gulf Medical Journal</w:t>
      </w:r>
      <w:r>
        <w:rPr>
          <w:rFonts w:ascii="Calibri" w:hAnsi="Calibri" w:hint="default"/>
          <w:sz w:val="18"/>
          <w:szCs w:val="18"/>
          <w:rtl w:val="0"/>
          <w:lang w:val="en-US"/>
        </w:rPr>
        <w:t>”</w:t>
      </w:r>
      <w:r>
        <w:rPr>
          <w:rFonts w:ascii="Calibri" w:hAnsi="Calibri"/>
          <w:sz w:val="18"/>
          <w:szCs w:val="18"/>
          <w:rtl w:val="0"/>
          <w:lang w:val="en-US"/>
        </w:rPr>
        <w:t>, GMJ. 8th Annual Scienti</w:t>
      </w:r>
      <w:r>
        <w:rPr>
          <w:rFonts w:ascii="Calibri" w:hAnsi="Calibri" w:hint="default"/>
          <w:sz w:val="18"/>
          <w:szCs w:val="18"/>
          <w:rtl w:val="0"/>
          <w:lang w:val="en-US"/>
        </w:rPr>
        <w:t>ﬁ</w:t>
      </w:r>
      <w:r>
        <w:rPr>
          <w:rFonts w:ascii="Calibri" w:hAnsi="Calibri"/>
          <w:sz w:val="18"/>
          <w:szCs w:val="18"/>
          <w:rtl w:val="0"/>
          <w:lang w:val="en-US"/>
        </w:rPr>
        <w:t>c Meeting Poster Proceedings 2016.</w:t>
      </w:r>
    </w:p>
    <w:p>
      <w:pPr>
        <w:pStyle w:val="Body"/>
        <w:tabs>
          <w:tab w:val="left" w:pos="384"/>
        </w:tabs>
        <w:ind w:right="117"/>
        <w:rPr>
          <w:rFonts w:ascii="Calibri" w:cs="Calibri" w:hAnsi="Calibri" w:eastAsia="Calibri"/>
          <w:sz w:val="18"/>
          <w:szCs w:val="18"/>
        </w:rPr>
      </w:pPr>
    </w:p>
    <w:p>
      <w:pPr>
        <w:pStyle w:val="Body"/>
        <w:tabs>
          <w:tab w:val="left" w:pos="384"/>
        </w:tabs>
        <w:ind w:right="117"/>
        <w:rPr>
          <w:rFonts w:ascii="Calibri" w:cs="Calibri" w:hAnsi="Calibri" w:eastAsia="Calibri"/>
          <w:sz w:val="18"/>
          <w:szCs w:val="18"/>
        </w:rPr>
      </w:pPr>
      <w:r>
        <w:rPr>
          <w:rFonts w:ascii="Calibri" w:hAnsi="Calibri"/>
          <w:sz w:val="18"/>
          <w:szCs w:val="18"/>
          <w:rtl w:val="0"/>
          <w:lang w:val="en-US"/>
        </w:rPr>
        <w:t xml:space="preserve">Menon PK, Nimmakayalu M, Bylappa SK, </w:t>
      </w:r>
      <w:r>
        <w:rPr>
          <w:rFonts w:ascii="Calibri" w:hAnsi="Calibri"/>
          <w:b w:val="1"/>
          <w:bCs w:val="1"/>
          <w:sz w:val="18"/>
          <w:szCs w:val="18"/>
          <w:rtl w:val="0"/>
        </w:rPr>
        <w:t>Kumar M</w:t>
      </w:r>
      <w:r>
        <w:rPr>
          <w:rFonts w:ascii="Calibri" w:hAnsi="Calibri"/>
          <w:sz w:val="18"/>
          <w:szCs w:val="18"/>
          <w:rtl w:val="0"/>
          <w:lang w:val="pt-PT"/>
        </w:rPr>
        <w:t xml:space="preserve">, Abdalhaleem HM, </w:t>
      </w:r>
      <w:r>
        <w:rPr>
          <w:rFonts w:ascii="Calibri" w:hAnsi="Calibri" w:hint="default"/>
          <w:sz w:val="18"/>
          <w:szCs w:val="18"/>
          <w:rtl w:val="0"/>
          <w:lang w:val="en-US"/>
        </w:rPr>
        <w:t>“</w:t>
      </w:r>
      <w:r>
        <w:rPr>
          <w:rFonts w:ascii="Calibri" w:hAnsi="Calibri"/>
          <w:sz w:val="18"/>
          <w:szCs w:val="18"/>
          <w:rtl w:val="0"/>
          <w:lang w:val="en-US"/>
        </w:rPr>
        <w:t xml:space="preserve">A comparison of in-house Hemoglobin DNA Mutation analysis for </w:t>
      </w:r>
      <w:r>
        <w:rPr>
          <w:rFonts w:ascii="Calibri" w:hAnsi="Calibri" w:hint="default"/>
          <w:sz w:val="18"/>
          <w:szCs w:val="18"/>
          <w:rtl w:val="0"/>
          <w:lang w:val="en-US"/>
        </w:rPr>
        <w:t xml:space="preserve">β </w:t>
      </w:r>
      <w:r>
        <w:rPr>
          <w:rFonts w:ascii="Calibri" w:hAnsi="Calibri"/>
          <w:sz w:val="18"/>
          <w:szCs w:val="18"/>
          <w:rtl w:val="0"/>
          <w:lang w:val="en-US"/>
        </w:rPr>
        <w:t>thalassemia by ARMS PCR with a Commercial Line Probe Assay</w:t>
      </w:r>
      <w:r>
        <w:rPr>
          <w:rFonts w:ascii="Calibri" w:hAnsi="Calibri" w:hint="default"/>
          <w:sz w:val="18"/>
          <w:szCs w:val="18"/>
          <w:rtl w:val="0"/>
          <w:lang w:val="en-US"/>
        </w:rPr>
        <w:t xml:space="preserve">” </w:t>
      </w:r>
      <w:r>
        <w:rPr>
          <w:rFonts w:ascii="Calibri" w:hAnsi="Calibri"/>
          <w:sz w:val="18"/>
          <w:szCs w:val="18"/>
          <w:rtl w:val="0"/>
        </w:rPr>
        <w:t xml:space="preserve">at </w:t>
      </w:r>
      <w:r>
        <w:rPr>
          <w:rFonts w:ascii="Calibri" w:hAnsi="Calibri" w:hint="default"/>
          <w:sz w:val="18"/>
          <w:szCs w:val="18"/>
          <w:rtl w:val="0"/>
          <w:lang w:val="en-US"/>
        </w:rPr>
        <w:t>“</w:t>
      </w:r>
      <w:r>
        <w:rPr>
          <w:rFonts w:ascii="Calibri" w:hAnsi="Calibri"/>
          <w:sz w:val="18"/>
          <w:szCs w:val="18"/>
          <w:rtl w:val="0"/>
          <w:lang w:val="en-US"/>
        </w:rPr>
        <w:t>Gulf Medical Journal</w:t>
      </w:r>
      <w:r>
        <w:rPr>
          <w:rFonts w:ascii="Calibri" w:hAnsi="Calibri" w:hint="default"/>
          <w:sz w:val="18"/>
          <w:szCs w:val="18"/>
          <w:rtl w:val="0"/>
          <w:lang w:val="en-US"/>
        </w:rPr>
        <w:t>”</w:t>
      </w:r>
      <w:r>
        <w:rPr>
          <w:rFonts w:ascii="Calibri" w:hAnsi="Calibri"/>
          <w:sz w:val="18"/>
          <w:szCs w:val="18"/>
          <w:rtl w:val="0"/>
        </w:rPr>
        <w:t>, GMJ, ASM 2015;4(S2): S77-82.</w:t>
      </w:r>
    </w:p>
    <w:p>
      <w:pPr>
        <w:pStyle w:val="Body"/>
        <w:tabs>
          <w:tab w:val="left" w:pos="384"/>
        </w:tabs>
        <w:ind w:right="117"/>
        <w:rPr>
          <w:rFonts w:ascii="Calibri" w:cs="Calibri" w:hAnsi="Calibri" w:eastAsia="Calibri"/>
          <w:sz w:val="18"/>
          <w:szCs w:val="18"/>
        </w:rPr>
      </w:pPr>
    </w:p>
    <w:p>
      <w:pPr>
        <w:pStyle w:val="Body"/>
        <w:tabs>
          <w:tab w:val="left" w:pos="384"/>
        </w:tabs>
        <w:ind w:right="117"/>
        <w:rPr>
          <w:rFonts w:ascii="Calibri" w:cs="Calibri" w:hAnsi="Calibri" w:eastAsia="Calibri"/>
          <w:sz w:val="18"/>
          <w:szCs w:val="18"/>
        </w:rPr>
      </w:pPr>
      <w:r>
        <w:rPr>
          <w:rFonts w:ascii="Calibri" w:hAnsi="Calibri"/>
          <w:b w:val="1"/>
          <w:bCs w:val="1"/>
          <w:sz w:val="18"/>
          <w:szCs w:val="18"/>
          <w:rtl w:val="0"/>
        </w:rPr>
        <w:t>Mukesh Kumar</w:t>
      </w:r>
      <w:r>
        <w:rPr>
          <w:rFonts w:ascii="Calibri" w:hAnsi="Calibri"/>
          <w:sz w:val="18"/>
          <w:szCs w:val="18"/>
          <w:rtl w:val="0"/>
        </w:rPr>
        <w:t xml:space="preserve">, Narotam Sharma. R.K. Singh, </w:t>
      </w:r>
      <w:r>
        <w:rPr>
          <w:rFonts w:ascii="Calibri" w:hAnsi="Calibri" w:hint="default"/>
          <w:sz w:val="18"/>
          <w:szCs w:val="18"/>
          <w:rtl w:val="0"/>
          <w:lang w:val="en-US"/>
        </w:rPr>
        <w:t>“</w:t>
      </w:r>
      <w:r>
        <w:rPr>
          <w:rFonts w:ascii="Calibri" w:hAnsi="Calibri"/>
          <w:sz w:val="18"/>
          <w:szCs w:val="18"/>
          <w:rtl w:val="0"/>
          <w:lang w:val="pt-PT"/>
        </w:rPr>
        <w:t xml:space="preserve">Molecular </w:t>
      </w:r>
      <w:r>
        <w:rPr>
          <w:rFonts w:ascii="Calibri" w:hAnsi="Calibri" w:hint="default"/>
          <w:sz w:val="18"/>
          <w:szCs w:val="18"/>
          <w:rtl w:val="0"/>
          <w:lang w:val="en-US"/>
        </w:rPr>
        <w:t>ﬁ</w:t>
      </w:r>
      <w:r>
        <w:rPr>
          <w:rFonts w:ascii="Calibri" w:hAnsi="Calibri"/>
          <w:sz w:val="18"/>
          <w:szCs w:val="18"/>
          <w:rtl w:val="0"/>
          <w:lang w:val="en-US"/>
        </w:rPr>
        <w:t xml:space="preserve">ngerprints pattern development of mycobacterium tuberculosis and mycobacterium bovis from clinical isolates- studies directed towards the pathogenicity, transmission &amp; epidemiology of tuberculosis. </w:t>
      </w:r>
      <w:r>
        <w:rPr>
          <w:rFonts w:ascii="Calibri" w:hAnsi="Calibri" w:hint="default"/>
          <w:sz w:val="18"/>
          <w:szCs w:val="18"/>
          <w:rtl w:val="0"/>
          <w:lang w:val="en-US"/>
        </w:rPr>
        <w:t xml:space="preserve">” </w:t>
      </w:r>
      <w:r>
        <w:rPr>
          <w:rFonts w:ascii="Calibri" w:hAnsi="Calibri"/>
          <w:sz w:val="18"/>
          <w:szCs w:val="18"/>
          <w:rtl w:val="0"/>
        </w:rPr>
        <w:t xml:space="preserve">at </w:t>
      </w:r>
      <w:r>
        <w:rPr>
          <w:rFonts w:ascii="Calibri" w:hAnsi="Calibri" w:hint="default"/>
          <w:sz w:val="18"/>
          <w:szCs w:val="18"/>
          <w:rtl w:val="0"/>
          <w:lang w:val="en-US"/>
        </w:rPr>
        <w:t>“</w:t>
      </w:r>
      <w:r>
        <w:rPr>
          <w:rFonts w:ascii="Calibri" w:hAnsi="Calibri"/>
          <w:sz w:val="18"/>
          <w:szCs w:val="18"/>
          <w:rtl w:val="0"/>
          <w:lang w:val="en-US"/>
        </w:rPr>
        <w:t>Advances in Biomedicine and Pharmacy</w:t>
      </w:r>
      <w:r>
        <w:rPr>
          <w:rFonts w:ascii="Calibri" w:hAnsi="Calibri" w:hint="default"/>
          <w:sz w:val="18"/>
          <w:szCs w:val="18"/>
          <w:rtl w:val="0"/>
          <w:lang w:val="en-US"/>
        </w:rPr>
        <w:t>”</w:t>
      </w:r>
      <w:r>
        <w:rPr>
          <w:rFonts w:ascii="Calibri" w:hAnsi="Calibri"/>
          <w:sz w:val="18"/>
          <w:szCs w:val="18"/>
          <w:rtl w:val="0"/>
          <w:lang w:val="it-IT"/>
        </w:rPr>
        <w:t>, Adv. Biomed. Pharma. 2:3 (2015) 146-153.</w:t>
      </w:r>
    </w:p>
    <w:p>
      <w:pPr>
        <w:pStyle w:val="Body"/>
        <w:tabs>
          <w:tab w:val="left" w:pos="384"/>
        </w:tabs>
        <w:ind w:right="117"/>
        <w:rPr>
          <w:rFonts w:ascii="Calibri" w:cs="Calibri" w:hAnsi="Calibri" w:eastAsia="Calibri"/>
          <w:sz w:val="18"/>
          <w:szCs w:val="18"/>
        </w:rPr>
      </w:pPr>
    </w:p>
    <w:p>
      <w:pPr>
        <w:pStyle w:val="Body"/>
        <w:tabs>
          <w:tab w:val="left" w:pos="384"/>
        </w:tabs>
        <w:ind w:right="117"/>
        <w:rPr>
          <w:rFonts w:ascii="Calibri" w:cs="Calibri" w:hAnsi="Calibri" w:eastAsia="Calibri"/>
        </w:rPr>
      </w:pPr>
      <w:r>
        <w:rPr>
          <w:rFonts w:ascii="Calibri" w:hAnsi="Calibri"/>
          <w:b w:val="1"/>
          <w:bCs w:val="1"/>
          <w:sz w:val="18"/>
          <w:szCs w:val="18"/>
          <w:rtl w:val="0"/>
        </w:rPr>
        <w:t>Mukesh Kumar</w:t>
      </w:r>
      <w:r>
        <w:rPr>
          <w:rFonts w:ascii="Calibri" w:hAnsi="Calibri"/>
          <w:sz w:val="18"/>
          <w:szCs w:val="18"/>
          <w:rtl w:val="0"/>
        </w:rPr>
        <w:t xml:space="preserve">, Ashwani Kumar, Narotam Sharma, R.K. Singh </w:t>
      </w:r>
      <w:r>
        <w:rPr>
          <w:rFonts w:ascii="Calibri" w:hAnsi="Calibri" w:hint="default"/>
          <w:sz w:val="18"/>
          <w:szCs w:val="18"/>
          <w:rtl w:val="0"/>
          <w:lang w:val="en-US"/>
        </w:rPr>
        <w:t>“</w:t>
      </w:r>
      <w:r>
        <w:rPr>
          <w:rFonts w:ascii="Calibri" w:hAnsi="Calibri"/>
          <w:sz w:val="18"/>
          <w:szCs w:val="18"/>
          <w:rtl w:val="0"/>
          <w:lang w:val="en-US"/>
        </w:rPr>
        <w:t xml:space="preserve">Molecular characterization of M. Tuberculosis and m. Bovis- clinical application for the disease management </w:t>
      </w:r>
      <w:r>
        <w:rPr>
          <w:rFonts w:ascii="Calibri" w:hAnsi="Calibri" w:hint="default"/>
          <w:sz w:val="18"/>
          <w:szCs w:val="18"/>
          <w:rtl w:val="0"/>
          <w:lang w:val="en-US"/>
        </w:rPr>
        <w:t>““</w:t>
      </w:r>
      <w:r>
        <w:rPr>
          <w:rFonts w:ascii="Calibri" w:hAnsi="Calibri"/>
          <w:sz w:val="18"/>
          <w:szCs w:val="18"/>
          <w:rtl w:val="0"/>
          <w:lang w:val="en-US"/>
        </w:rPr>
        <w:t>Journal of Science 5</w:t>
      </w:r>
      <w:r>
        <w:rPr>
          <w:rFonts w:ascii="Calibri" w:hAnsi="Calibri" w:hint="default"/>
          <w:sz w:val="18"/>
          <w:szCs w:val="18"/>
          <w:rtl w:val="0"/>
          <w:lang w:val="en-US"/>
        </w:rPr>
        <w:t>”</w:t>
      </w:r>
      <w:r>
        <w:rPr>
          <w:rFonts w:ascii="Calibri" w:hAnsi="Calibri"/>
          <w:sz w:val="18"/>
          <w:szCs w:val="18"/>
          <w:rtl w:val="0"/>
        </w:rPr>
        <w:t>, 2015, 135-142</w:t>
      </w:r>
    </w:p>
    <w:p>
      <w:pPr>
        <w:pStyle w:val="Body"/>
        <w:spacing w:line="200" w:lineRule="exact"/>
        <w:jc w:val="both"/>
        <w:rPr>
          <w:rFonts w:ascii="Calibri" w:cs="Calibri" w:hAnsi="Calibri" w:eastAsia="Calibri"/>
        </w:rPr>
        <w:sectPr>
          <w:type w:val="continuous"/>
          <w:pgSz w:w="11920" w:h="16840" w:orient="portrait"/>
          <w:pgMar w:top="1740" w:right="600" w:bottom="840" w:left="620" w:header="541" w:footer="642"/>
          <w:cols w:space="720" w:num="2" w:equalWidth="1"/>
          <w:bidi w:val="0"/>
        </w:sectPr>
      </w:pPr>
      <w:r>
        <w:rPr>
          <w:rFonts w:ascii="Calibri" w:cs="Calibri" w:hAnsi="Calibri" w:eastAsia="Calibri"/>
        </w:rPr>
      </w:r>
    </w:p>
    <w:p>
      <w:pPr>
        <w:pStyle w:val="Body Text"/>
        <w:rPr>
          <w:rFonts w:ascii="Calibri" w:cs="Calibri" w:hAnsi="Calibri" w:eastAsia="Calibri"/>
          <w:sz w:val="20"/>
          <w:szCs w:val="20"/>
        </w:rPr>
      </w:pPr>
      <w:r>
        <w:rPr>
          <w:rFonts w:ascii="Calibri" w:cs="Calibri" w:hAnsi="Calibri" w:eastAsia="Calibri"/>
          <w:sz w:val="20"/>
          <w:szCs w:val="20"/>
        </w:rPr>
        <w:drawing xmlns:a="http://schemas.openxmlformats.org/drawingml/2006/main">
          <wp:anchor distT="152400" distB="152400" distL="152400" distR="152400" simplePos="0" relativeHeight="251660288" behindDoc="0" locked="0" layoutInCell="1" allowOverlap="1">
            <wp:simplePos x="0" y="0"/>
            <wp:positionH relativeFrom="page">
              <wp:posOffset>387350</wp:posOffset>
            </wp:positionH>
            <wp:positionV relativeFrom="line">
              <wp:posOffset>21166</wp:posOffset>
            </wp:positionV>
            <wp:extent cx="947420" cy="959117"/>
            <wp:effectExtent l="0" t="0" r="0" b="0"/>
            <wp:wrapThrough wrapText="bothSides" distL="152400" distR="152400">
              <wp:wrapPolygon edited="1">
                <wp:start x="0" y="0"/>
                <wp:lineTo x="21600" y="0"/>
                <wp:lineTo x="21600" y="21600"/>
                <wp:lineTo x="0" y="21600"/>
                <wp:lineTo x="0" y="0"/>
              </wp:wrapPolygon>
            </wp:wrapThrough>
            <wp:docPr id="1073741830" name="officeArt object" descr="pasted-image.tiff"/>
            <wp:cNvGraphicFramePr/>
            <a:graphic xmlns:a="http://schemas.openxmlformats.org/drawingml/2006/main">
              <a:graphicData uri="http://schemas.openxmlformats.org/drawingml/2006/picture">
                <pic:pic xmlns:pic="http://schemas.openxmlformats.org/drawingml/2006/picture">
                  <pic:nvPicPr>
                    <pic:cNvPr id="1073741830" name="pasted-image.tiff" descr="pasted-image.tiff"/>
                    <pic:cNvPicPr>
                      <a:picLocks noChangeAspect="1"/>
                    </pic:cNvPicPr>
                  </pic:nvPicPr>
                  <pic:blipFill>
                    <a:blip r:embed="rId6">
                      <a:extLst/>
                    </a:blip>
                    <a:stretch>
                      <a:fillRect/>
                    </a:stretch>
                  </pic:blipFill>
                  <pic:spPr>
                    <a:xfrm>
                      <a:off x="0" y="0"/>
                      <a:ext cx="947420" cy="959117"/>
                    </a:xfrm>
                    <a:prstGeom prst="rect">
                      <a:avLst/>
                    </a:prstGeom>
                    <a:ln w="12700" cap="flat">
                      <a:noFill/>
                      <a:miter lim="400000"/>
                    </a:ln>
                    <a:effectLst/>
                  </pic:spPr>
                </pic:pic>
              </a:graphicData>
            </a:graphic>
          </wp:anchor>
        </w:drawing>
      </w:r>
    </w:p>
    <w:p>
      <w:pPr>
        <w:pStyle w:val="Body Text"/>
        <w:spacing w:line="40" w:lineRule="exact"/>
        <w:ind w:left="2202" w:firstLine="0"/>
        <w:rPr>
          <w:rFonts w:ascii="Calibri" w:cs="Calibri" w:hAnsi="Calibri" w:eastAsia="Calibri"/>
          <w:sz w:val="4"/>
          <w:szCs w:val="4"/>
        </w:rPr>
      </w:pPr>
      <w:r>
        <w:rPr>
          <w:rStyle w:val="None A"/>
        </w:rPr>
        <mc:AlternateContent>
          <mc:Choice Requires="wps">
            <w:drawing xmlns:a="http://schemas.openxmlformats.org/drawingml/2006/main">
              <wp:inline distT="0" distB="0" distL="0" distR="0">
                <wp:extent cx="3949701" cy="0"/>
                <wp:effectExtent l="0" t="0" r="0" b="0"/>
                <wp:docPr id="1073741831" name="officeArt object"/>
                <wp:cNvGraphicFramePr/>
                <a:graphic xmlns:a="http://schemas.openxmlformats.org/drawingml/2006/main">
                  <a:graphicData uri="http://schemas.microsoft.com/office/word/2010/wordprocessingShape">
                    <wps:wsp>
                      <wps:cNvSpPr/>
                      <wps:spPr>
                        <a:xfrm>
                          <a:off x="0" y="0"/>
                          <a:ext cx="3949701" cy="0"/>
                        </a:xfrm>
                        <a:prstGeom prst="line">
                          <a:avLst/>
                        </a:prstGeom>
                        <a:noFill/>
                        <a:ln w="25400" cap="flat">
                          <a:solidFill>
                            <a:srgbClr val="004080"/>
                          </a:solidFill>
                          <a:prstDash val="solid"/>
                          <a:round/>
                        </a:ln>
                        <a:effectLst/>
                      </wps:spPr>
                      <wps:bodyPr/>
                    </wps:wsp>
                  </a:graphicData>
                </a:graphic>
              </wp:inline>
            </w:drawing>
          </mc:Choice>
          <mc:Fallback>
            <w:pict>
              <v:line id="_x0000_s1026" style="visibility:visible;width:311.0pt;height:0.0pt;">
                <v:fill on="f"/>
                <v:stroke filltype="solid" color="#004080" opacity="100.0%" weight="2.0pt" dashstyle="solid" endcap="flat" joinstyle="round" linestyle="single" startarrow="none" startarrowwidth="medium" startarrowlength="medium" endarrow="none" endarrowwidth="medium" endarrowlength="medium"/>
              </v:line>
            </w:pict>
          </mc:Fallback>
        </mc:AlternateContent>
      </w:r>
    </w:p>
    <w:p>
      <w:pPr>
        <w:pStyle w:val="Body"/>
        <w:spacing w:before="92"/>
        <w:ind w:right="4234"/>
        <w:rPr>
          <w:rFonts w:ascii="Arial" w:cs="Arial" w:hAnsi="Arial" w:eastAsia="Arial"/>
        </w:rPr>
      </w:pPr>
      <w:r>
        <w:rPr>
          <w:rFonts w:ascii="Arial" w:hAnsi="Arial"/>
          <w:outline w:val="0"/>
          <w:color w:val="bf5a14"/>
          <w:u w:color="bf5a14"/>
          <w:rtl w:val="0"/>
          <w:lang w:val="en-US"/>
          <w14:textFill>
            <w14:solidFill>
              <w14:srgbClr w14:val="BF5A14"/>
            </w14:solidFill>
          </w14:textFill>
        </w:rPr>
        <w:t>Biography (150 word limit)</w:t>
      </w:r>
    </w:p>
    <w:p>
      <w:pPr>
        <w:pStyle w:val="Body"/>
        <w:spacing w:before="41" w:line="154" w:lineRule="exact"/>
        <w:ind w:left="213" w:right="231" w:firstLine="0"/>
        <w:jc w:val="both"/>
        <w:rPr>
          <w:rFonts w:ascii="Arial" w:cs="Arial" w:hAnsi="Arial" w:eastAsia="Arial"/>
          <w:sz w:val="14"/>
          <w:szCs w:val="14"/>
        </w:rPr>
      </w:pPr>
      <w:r>
        <w:rPr>
          <w:rFonts w:ascii="Arial" w:hAnsi="Arial"/>
          <w:sz w:val="14"/>
          <w:szCs w:val="14"/>
          <w:rtl w:val="0"/>
          <w:lang w:val="en-US"/>
        </w:rPr>
        <w:t xml:space="preserve">Dr. Mukesh Kumar is a Licensed professional in Molecular Biology by American Boardof Clinical Pathologists (ASCP) with nearly 11 years of experience in Molecular Research, Diagnostics and Teaching, currently working as a Technical Director - Molecular Pathology at Everight Diagnostic &amp; Laboratory Services Ltd, Abuja, Nigeria . He is the head of the COVID-19 testing Facility.He has worked as Clinical Lecturer in Gulf Medical University  and  Manipal Academy of Higher Education, Dubai, UAE. He has earned Molecular Biologist award in 2018 and Young scientist award in 2016 for his extensive research on </w:t>
      </w:r>
      <w:r>
        <w:rPr>
          <w:rFonts w:ascii="Arial" w:hAnsi="Arial"/>
          <w:i w:val="1"/>
          <w:iCs w:val="1"/>
          <w:sz w:val="14"/>
          <w:szCs w:val="14"/>
          <w:rtl w:val="0"/>
          <w:lang w:val="pt-PT"/>
        </w:rPr>
        <w:t>Mycobacteroum Tuberculosis</w:t>
      </w:r>
      <w:r>
        <w:rPr>
          <w:rFonts w:ascii="Arial" w:hAnsi="Arial"/>
          <w:sz w:val="14"/>
          <w:szCs w:val="14"/>
          <w:rtl w:val="0"/>
          <w:lang w:val="en-US"/>
        </w:rPr>
        <w:t>.h He has an Phd from OPJS University, Rajasthan India in Molecular Biology. He is a  College of American Pathologists (CAP) approved Molecular Laboratory Auditor.</w:t>
      </w:r>
    </w:p>
    <w:p>
      <w:pPr>
        <w:pStyle w:val="Body"/>
        <w:spacing w:before="41" w:line="154" w:lineRule="exact"/>
        <w:ind w:left="213" w:right="231" w:firstLine="0"/>
        <w:jc w:val="both"/>
        <w:rPr>
          <w:rStyle w:val="None"/>
          <w:rFonts w:ascii="Arial" w:cs="Arial" w:hAnsi="Arial" w:eastAsia="Arial"/>
          <w:sz w:val="14"/>
          <w:szCs w:val="14"/>
        </w:rPr>
      </w:pPr>
      <w:r>
        <w:rPr>
          <w:rFonts w:ascii="Arial" w:hAnsi="Arial"/>
          <w:sz w:val="14"/>
          <w:szCs w:val="14"/>
          <w:rtl w:val="0"/>
          <w:lang w:val="en-US"/>
        </w:rPr>
        <w:t xml:space="preserve">Email : </w:t>
      </w:r>
      <w:r>
        <w:rPr>
          <w:rStyle w:val="Hyperlink.1"/>
        </w:rPr>
        <w:fldChar w:fldCharType="begin" w:fldLock="0"/>
      </w:r>
      <w:r>
        <w:rPr>
          <w:rStyle w:val="Hyperlink.1"/>
        </w:rPr>
        <w:instrText xml:space="preserve"> HYPERLINK "mailto:dr.mukesh@everightlab.com"</w:instrText>
      </w:r>
      <w:r>
        <w:rPr>
          <w:rStyle w:val="Hyperlink.1"/>
        </w:rPr>
        <w:fldChar w:fldCharType="separate" w:fldLock="0"/>
      </w:r>
      <w:r>
        <w:rPr>
          <w:rStyle w:val="Hyperlink.1"/>
          <w:rtl w:val="0"/>
          <w:lang w:val="en-US"/>
        </w:rPr>
        <w:t>dr.mukesh@everightlab.com</w:t>
      </w:r>
      <w:r>
        <w:rPr/>
        <w:fldChar w:fldCharType="end" w:fldLock="0"/>
      </w:r>
    </w:p>
    <w:p>
      <w:pPr>
        <w:pStyle w:val="Body Text"/>
        <w:spacing w:before="2"/>
        <w:rPr>
          <w:rStyle w:val="None"/>
          <w:rFonts w:ascii="Arial" w:cs="Arial" w:hAnsi="Arial" w:eastAsia="Arial"/>
          <w:sz w:val="19"/>
          <w:szCs w:val="19"/>
        </w:rPr>
      </w:pPr>
      <w:r>
        <w:rPr>
          <w:rStyle w:val="None A"/>
        </w:rPr>
        <mc:AlternateContent>
          <mc:Choice Requires="wps">
            <w:drawing xmlns:a="http://schemas.openxmlformats.org/drawingml/2006/main">
              <wp:anchor distT="0" distB="0" distL="0" distR="0" simplePos="0" relativeHeight="251659264" behindDoc="0" locked="0" layoutInCell="1" allowOverlap="1">
                <wp:simplePos x="0" y="0"/>
                <wp:positionH relativeFrom="page">
                  <wp:posOffset>2065654</wp:posOffset>
                </wp:positionH>
                <wp:positionV relativeFrom="line">
                  <wp:posOffset>161925</wp:posOffset>
                </wp:positionV>
                <wp:extent cx="3441700" cy="0"/>
                <wp:effectExtent l="0" t="0" r="0" b="0"/>
                <wp:wrapTopAndBottom distT="0" distB="0"/>
                <wp:docPr id="1073741832" name="officeArt object"/>
                <wp:cNvGraphicFramePr/>
                <a:graphic xmlns:a="http://schemas.openxmlformats.org/drawingml/2006/main">
                  <a:graphicData uri="http://schemas.microsoft.com/office/word/2010/wordprocessingShape">
                    <wps:wsp>
                      <wps:cNvSpPr/>
                      <wps:spPr>
                        <a:xfrm>
                          <a:off x="0" y="0"/>
                          <a:ext cx="3441700" cy="0"/>
                        </a:xfrm>
                        <a:prstGeom prst="line">
                          <a:avLst/>
                        </a:prstGeom>
                        <a:noFill/>
                        <a:ln w="6350" cap="flat">
                          <a:solidFill>
                            <a:srgbClr val="004080"/>
                          </a:solidFill>
                          <a:prstDash val="solid"/>
                          <a:round/>
                        </a:ln>
                        <a:effectLst/>
                      </wps:spPr>
                      <wps:bodyPr/>
                    </wps:wsp>
                  </a:graphicData>
                </a:graphic>
              </wp:anchor>
            </w:drawing>
          </mc:Choice>
          <mc:Fallback>
            <w:pict>
              <v:line id="_x0000_s1027" style="visibility:visible;position:absolute;margin-left:162.6pt;margin-top:12.8pt;width:271.0pt;height:0.0pt;z-index:251659264;mso-position-horizontal:absolute;mso-position-horizontal-relative:page;mso-position-vertical:absolute;mso-position-vertical-relative:line;mso-wrap-distance-left:0.0pt;mso-wrap-distance-top:0.0pt;mso-wrap-distance-right:0.0pt;mso-wrap-distance-bottom:0.0pt;">
                <v:fill on="f"/>
                <v:stroke filltype="solid" color="#004080" opacity="100.0%" weight="0.5pt" dashstyle="solid" endcap="flat" joinstyle="round" linestyle="single" startarrow="none" startarrowwidth="medium" startarrowlength="medium" endarrow="none" endarrowwidth="medium" endarrowlength="medium"/>
                <w10:wrap type="topAndBottom" side="bothSides" anchorx="page"/>
              </v:line>
            </w:pict>
          </mc:Fallback>
        </mc:AlternateContent>
      </w:r>
    </w:p>
    <w:p>
      <w:pPr>
        <w:pStyle w:val="Body Text"/>
        <w:rPr>
          <w:rStyle w:val="None"/>
          <w:rFonts w:ascii="Arial" w:cs="Arial" w:hAnsi="Arial" w:eastAsia="Arial"/>
          <w:sz w:val="20"/>
          <w:szCs w:val="20"/>
        </w:rPr>
      </w:pPr>
    </w:p>
    <w:p>
      <w:pPr>
        <w:pStyle w:val="Body Text"/>
        <w:rPr>
          <w:rStyle w:val="None"/>
          <w:rFonts w:ascii="Arial" w:cs="Arial" w:hAnsi="Arial" w:eastAsia="Arial"/>
          <w:sz w:val="20"/>
          <w:szCs w:val="20"/>
        </w:rPr>
      </w:pPr>
    </w:p>
    <w:p>
      <w:pPr>
        <w:pStyle w:val="Body Text"/>
        <w:spacing w:before="7"/>
        <w:rPr>
          <w:rStyle w:val="None"/>
          <w:rFonts w:ascii="Arial" w:cs="Arial" w:hAnsi="Arial" w:eastAsia="Arial"/>
          <w:sz w:val="29"/>
          <w:szCs w:val="29"/>
        </w:rPr>
      </w:pPr>
    </w:p>
    <w:p>
      <w:pPr>
        <w:pStyle w:val="Body"/>
        <w:spacing w:before="39"/>
        <w:ind w:left="100" w:firstLine="0"/>
      </w:pPr>
      <w:r>
        <w:rPr>
          <w:rStyle w:val="None"/>
          <w:rFonts w:ascii="Minion Pro" w:cs="Minion Pro" w:hAnsi="Minion Pro" w:eastAsia="Minion Pro"/>
          <w:b w:val="1"/>
          <w:bCs w:val="1"/>
          <w:sz w:val="20"/>
          <w:szCs w:val="20"/>
          <w:rtl w:val="0"/>
          <w:lang w:val="en-US"/>
        </w:rPr>
        <w:t>Notes/Comments:</w:t>
      </w:r>
    </w:p>
    <w:sectPr>
      <w:type w:val="continuous"/>
      <w:pgSz w:w="11920" w:h="16840" w:orient="portrait"/>
      <w:pgMar w:top="1740" w:right="600" w:bottom="840" w:left="620" w:header="541" w:footer="642"/>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Tw Cen MT">
    <w:charset w:val="00"/>
    <w:family w:val="roman"/>
    <w:pitch w:val="default"/>
  </w:font>
  <w:font w:name="Myriad Pro">
    <w:charset w:val="00"/>
    <w:family w:val="roman"/>
    <w:pitch w:val="default"/>
  </w:font>
  <w:font w:name="Impact">
    <w:charset w:val="00"/>
    <w:family w:val="roman"/>
    <w:pitch w:val="default"/>
  </w:font>
  <w:font w:name="Minion Pro">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pPr>
    <w:r>
      <mc:AlternateContent>
        <mc:Choice Requires="wps">
          <w:drawing xmlns:a="http://schemas.openxmlformats.org/drawingml/2006/main">
            <wp:anchor distT="152400" distB="152400" distL="152400" distR="152400" simplePos="0" relativeHeight="251658240" behindDoc="1" locked="0" layoutInCell="1" allowOverlap="1">
              <wp:simplePos x="0" y="0"/>
              <wp:positionH relativeFrom="page">
                <wp:posOffset>5328919</wp:posOffset>
              </wp:positionH>
              <wp:positionV relativeFrom="page">
                <wp:posOffset>330200</wp:posOffset>
              </wp:positionV>
              <wp:extent cx="1741171" cy="220980"/>
              <wp:effectExtent l="0" t="0" r="0" b="0"/>
              <wp:wrapNone/>
              <wp:docPr id="1073741825" name="officeArt object"/>
              <wp:cNvGraphicFramePr/>
              <a:graphic xmlns:a="http://schemas.openxmlformats.org/drawingml/2006/main">
                <a:graphicData uri="http://schemas.microsoft.com/office/word/2010/wordprocessingShape">
                  <wps:wsp>
                    <wps:cNvSpPr txBox="1"/>
                    <wps:spPr>
                      <a:xfrm>
                        <a:off x="0" y="0"/>
                        <a:ext cx="1741171" cy="220980"/>
                      </a:xfrm>
                      <a:prstGeom prst="rect">
                        <a:avLst/>
                      </a:prstGeom>
                      <a:noFill/>
                      <a:ln w="12700" cap="flat">
                        <a:noFill/>
                        <a:miter lim="400000"/>
                      </a:ln>
                      <a:effectLst/>
                    </wps:spPr>
                    <wps:txbx>
                      <w:txbxContent>
                        <w:p>
                          <w:pPr>
                            <w:pStyle w:val="Body"/>
                            <w:spacing w:before="2" w:line="249" w:lineRule="auto"/>
                            <w:ind w:left="156" w:right="18" w:hanging="137"/>
                          </w:pPr>
                          <w:r>
                            <w:rPr>
                              <w:rStyle w:val="Hyperlink.0"/>
                              <w:rtl w:val="0"/>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lang w:val="en-US"/>
                            </w:rPr>
                            <w:t>http://dx.doi.org/10.4172/2167-0846.C1.006</w:t>
                          </w:r>
                          <w:r>
                            <w:rPr/>
                            <w:fldChar w:fldCharType="end" w:fldLock="0"/>
                          </w:r>
                        </w:p>
                      </w:txbxContent>
                    </wps:txbx>
                    <wps:bodyPr wrap="square" lIns="45719" tIns="45719" rIns="45719" bIns="45719" numCol="1" anchor="t">
                      <a:noAutofit/>
                    </wps:bodyPr>
                  </wps:wsp>
                </a:graphicData>
              </a:graphic>
            </wp:anchor>
          </w:drawing>
        </mc:Choice>
        <mc:Fallback>
          <w:pict>
            <v:shape id="_x0000_s1028" type="#_x0000_t202" style="visibility:visible;position:absolute;margin-left:419.6pt;margin-top:26.0pt;width:137.1pt;height:17.4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before="2" w:line="249" w:lineRule="auto"/>
                      <w:ind w:left="156" w:right="18" w:hanging="137"/>
                    </w:pPr>
                    <w:r>
                      <w:rPr>
                        <w:rStyle w:val="Hyperlink.0"/>
                        <w:rtl w:val="0"/>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lang w:val="en-US"/>
                      </w:rPr>
                      <w:t>http://dx.doi.org/10.4172/2167-0846.C1.006</w:t>
                    </w:r>
                    <w:r>
                      <w:rPr/>
                      <w:fldChar w:fldCharType="end" w:fldLock="0"/>
                    </w:r>
                  </w:p>
                </w:txbxContent>
              </v:textbox>
              <w10:wrap type="none" side="bothSides" anchorx="page" anchory="page"/>
            </v:shape>
          </w:pict>
        </mc:Fallback>
      </mc:AlternateContent>
    </w:r>
    <w:r>
      <mc:AlternateContent>
        <mc:Choice Requires="wps">
          <w:drawing xmlns:a="http://schemas.openxmlformats.org/drawingml/2006/main">
            <wp:anchor distT="152400" distB="152400" distL="152400" distR="152400" simplePos="0" relativeHeight="251659264" behindDoc="1" locked="0" layoutInCell="1" allowOverlap="1">
              <wp:simplePos x="0" y="0"/>
              <wp:positionH relativeFrom="page">
                <wp:posOffset>490219</wp:posOffset>
              </wp:positionH>
              <wp:positionV relativeFrom="page">
                <wp:posOffset>613409</wp:posOffset>
              </wp:positionV>
              <wp:extent cx="6461761" cy="509270"/>
              <wp:effectExtent l="0" t="0" r="0" b="0"/>
              <wp:wrapNone/>
              <wp:docPr id="1073741826" name="officeArt object"/>
              <wp:cNvGraphicFramePr/>
              <a:graphic xmlns:a="http://schemas.openxmlformats.org/drawingml/2006/main">
                <a:graphicData uri="http://schemas.microsoft.com/office/word/2010/wordprocessingShape">
                  <wps:wsp>
                    <wps:cNvSpPr txBox="1"/>
                    <wps:spPr>
                      <a:xfrm>
                        <a:off x="0" y="0"/>
                        <a:ext cx="6461761" cy="509270"/>
                      </a:xfrm>
                      <a:prstGeom prst="rect">
                        <a:avLst/>
                      </a:prstGeom>
                      <a:noFill/>
                      <a:ln w="12700" cap="flat">
                        <a:noFill/>
                        <a:miter lim="400000"/>
                      </a:ln>
                      <a:effectLst/>
                    </wps:spPr>
                    <wps:txbx>
                      <w:txbxContent>
                        <w:p>
                          <w:pPr>
                            <w:pStyle w:val="Body Text"/>
                            <w:spacing w:line="187" w:lineRule="exact"/>
                            <w:ind w:left="20" w:firstLine="0"/>
                            <w:rPr>
                              <w:rFonts w:ascii="Myriad Pro" w:cs="Myriad Pro" w:hAnsi="Myriad Pro" w:eastAsia="Myriad Pro"/>
                              <w:outline w:val="0"/>
                              <w:color w:val="ffffff"/>
                              <w:u w:color="ffffff"/>
                              <w14:textFill>
                                <w14:solidFill>
                                  <w14:srgbClr w14:val="FFFFFF"/>
                                </w14:solidFill>
                              </w14:textFill>
                            </w:rPr>
                          </w:pPr>
                          <w:r>
                            <w:rPr>
                              <w:rFonts w:ascii="Myriad Pro" w:cs="Myriad Pro" w:hAnsi="Myriad Pro" w:eastAsia="Myriad Pro"/>
                              <w:outline w:val="0"/>
                              <w:color w:val="ffffff"/>
                              <w:u w:color="ffffff"/>
                              <w:rtl w:val="0"/>
                              <w:lang w:val="en-US"/>
                              <w14:textFill>
                                <w14:solidFill>
                                  <w14:srgbClr w14:val="FFFFFF"/>
                                </w14:solidFill>
                              </w14:textFill>
                            </w:rPr>
                            <w:t>International Conference on</w:t>
                          </w:r>
                        </w:p>
                        <w:p>
                          <w:pPr>
                            <w:pStyle w:val="Body"/>
                            <w:spacing w:line="614" w:lineRule="exact"/>
                            <w:ind w:left="20" w:firstLine="0"/>
                          </w:pPr>
                          <w:r>
                            <w:rPr>
                              <w:rFonts w:ascii="Impact" w:hAnsi="Impact"/>
                              <w:outline w:val="0"/>
                              <w:color w:val="ffffff"/>
                              <w:sz w:val="52"/>
                              <w:szCs w:val="52"/>
                              <w:u w:color="ffffff"/>
                              <w:rtl w:val="0"/>
                              <w:lang w:val="en-US"/>
                              <w14:textFill>
                                <w14:solidFill>
                                  <w14:srgbClr w14:val="FFFFFF"/>
                                </w14:solidFill>
                              </w14:textFill>
                            </w:rPr>
                            <w:t xml:space="preserve">Fibromyalgia and Chronic Pain </w:t>
                          </w:r>
                          <w:r>
                            <w:rPr>
                              <w:rFonts w:ascii="Minion Pro" w:cs="Minion Pro" w:hAnsi="Minion Pro" w:eastAsia="Minion Pro"/>
                              <w:outline w:val="0"/>
                              <w:color w:val="ffffff"/>
                              <w:sz w:val="24"/>
                              <w:szCs w:val="24"/>
                              <w:u w:color="ffffff"/>
                              <w:rtl w:val="0"/>
                              <w:lang w:val="en-US"/>
                              <w14:textFill>
                                <w14:solidFill>
                                  <w14:srgbClr w14:val="FFFFFF"/>
                                </w14:solidFill>
                              </w14:textFill>
                            </w:rPr>
                            <w:t>(June 15-16, 2016   Philadelphia, USA)</w:t>
                          </w:r>
                        </w:p>
                      </w:txbxContent>
                    </wps:txbx>
                    <wps:bodyPr wrap="square" lIns="45719" tIns="45719" rIns="45719" bIns="45719" numCol="1" anchor="t">
                      <a:noAutofit/>
                    </wps:bodyPr>
                  </wps:wsp>
                </a:graphicData>
              </a:graphic>
            </wp:anchor>
          </w:drawing>
        </mc:Choice>
        <mc:Fallback>
          <w:pict>
            <v:shape id="_x0000_s1029" type="#_x0000_t202" style="visibility:visible;position:absolute;margin-left:38.6pt;margin-top:48.3pt;width:508.8pt;height:40.1pt;z-index:-25165721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Text"/>
                      <w:spacing w:line="187" w:lineRule="exact"/>
                      <w:ind w:left="20" w:firstLine="0"/>
                      <w:rPr>
                        <w:rFonts w:ascii="Myriad Pro" w:cs="Myriad Pro" w:hAnsi="Myriad Pro" w:eastAsia="Myriad Pro"/>
                        <w:outline w:val="0"/>
                        <w:color w:val="ffffff"/>
                        <w:u w:color="ffffff"/>
                        <w14:textFill>
                          <w14:solidFill>
                            <w14:srgbClr w14:val="FFFFFF"/>
                          </w14:solidFill>
                        </w14:textFill>
                      </w:rPr>
                    </w:pPr>
                    <w:r>
                      <w:rPr>
                        <w:rFonts w:ascii="Myriad Pro" w:cs="Myriad Pro" w:hAnsi="Myriad Pro" w:eastAsia="Myriad Pro"/>
                        <w:outline w:val="0"/>
                        <w:color w:val="ffffff"/>
                        <w:u w:color="ffffff"/>
                        <w:rtl w:val="0"/>
                        <w:lang w:val="en-US"/>
                        <w14:textFill>
                          <w14:solidFill>
                            <w14:srgbClr w14:val="FFFFFF"/>
                          </w14:solidFill>
                        </w14:textFill>
                      </w:rPr>
                      <w:t>International Conference on</w:t>
                    </w:r>
                  </w:p>
                  <w:p>
                    <w:pPr>
                      <w:pStyle w:val="Body"/>
                      <w:spacing w:line="614" w:lineRule="exact"/>
                      <w:ind w:left="20" w:firstLine="0"/>
                    </w:pPr>
                    <w:r>
                      <w:rPr>
                        <w:rFonts w:ascii="Impact" w:hAnsi="Impact"/>
                        <w:outline w:val="0"/>
                        <w:color w:val="ffffff"/>
                        <w:sz w:val="52"/>
                        <w:szCs w:val="52"/>
                        <w:u w:color="ffffff"/>
                        <w:rtl w:val="0"/>
                        <w:lang w:val="en-US"/>
                        <w14:textFill>
                          <w14:solidFill>
                            <w14:srgbClr w14:val="FFFFFF"/>
                          </w14:solidFill>
                        </w14:textFill>
                      </w:rPr>
                      <w:t xml:space="preserve">Fibromyalgia and Chronic Pain </w:t>
                    </w:r>
                    <w:r>
                      <w:rPr>
                        <w:rFonts w:ascii="Minion Pro" w:cs="Minion Pro" w:hAnsi="Minion Pro" w:eastAsia="Minion Pro"/>
                        <w:outline w:val="0"/>
                        <w:color w:val="ffffff"/>
                        <w:sz w:val="24"/>
                        <w:szCs w:val="24"/>
                        <w:u w:color="ffffff"/>
                        <w:rtl w:val="0"/>
                        <w:lang w:val="en-US"/>
                        <w14:textFill>
                          <w14:solidFill>
                            <w14:srgbClr w14:val="FFFFFF"/>
                          </w14:solidFill>
                        </w14:textFill>
                      </w:rPr>
                      <w:t>(June 15-16, 2016   Philadelphia, USA)</w:t>
                    </w:r>
                  </w:p>
                </w:txbxContent>
              </v:textbox>
              <w10:wrap type="none" side="bothSides" anchorx="page" anchory="page"/>
            </v:shape>
          </w:pict>
        </mc:Fallback>
      </mc:AlternateContent>
    </w:r>
    <w:r>
      <mc:AlternateContent>
        <mc:Choice Requires="wps">
          <w:drawing xmlns:a="http://schemas.openxmlformats.org/drawingml/2006/main">
            <wp:anchor distT="152400" distB="152400" distL="152400" distR="152400" simplePos="0" relativeHeight="251660288" behindDoc="1" locked="0" layoutInCell="1" allowOverlap="1">
              <wp:simplePos x="0" y="0"/>
              <wp:positionH relativeFrom="page">
                <wp:posOffset>490219</wp:posOffset>
              </wp:positionH>
              <wp:positionV relativeFrom="page">
                <wp:posOffset>10144759</wp:posOffset>
              </wp:positionV>
              <wp:extent cx="2044700" cy="248921"/>
              <wp:effectExtent l="0" t="0" r="0" b="0"/>
              <wp:wrapNone/>
              <wp:docPr id="1073741827" name="officeArt object"/>
              <wp:cNvGraphicFramePr/>
              <a:graphic xmlns:a="http://schemas.openxmlformats.org/drawingml/2006/main">
                <a:graphicData uri="http://schemas.microsoft.com/office/word/2010/wordprocessingShape">
                  <wps:wsp>
                    <wps:cNvSpPr txBox="1"/>
                    <wps:spPr>
                      <a:xfrm>
                        <a:off x="0" y="0"/>
                        <a:ext cx="2044700" cy="248921"/>
                      </a:xfrm>
                      <a:prstGeom prst="rect">
                        <a:avLst/>
                      </a:prstGeom>
                      <a:noFill/>
                      <a:ln w="12700" cap="flat">
                        <a:noFill/>
                        <a:miter lim="400000"/>
                      </a:ln>
                      <a:effectLst/>
                    </wps:spPr>
                    <wps:txbx>
                      <w:txbxContent>
                        <w:p>
                          <w:pPr>
                            <w:pStyle w:val="Body"/>
                            <w:spacing w:line="184" w:lineRule="exact"/>
                            <w:ind w:left="20" w:firstLine="0"/>
                            <w:rPr>
                              <w:rFonts w:ascii="Arial" w:cs="Arial" w:hAnsi="Arial" w:eastAsia="Arial"/>
                              <w:outline w:val="0"/>
                              <w:color w:val="ffffff"/>
                              <w:sz w:val="16"/>
                              <w:szCs w:val="16"/>
                              <w:u w:color="ffffff"/>
                              <w14:textFill>
                                <w14:solidFill>
                                  <w14:srgbClr w14:val="FFFFFF"/>
                                </w14:solidFill>
                              </w14:textFill>
                            </w:rPr>
                          </w:pPr>
                          <w:r>
                            <w:rPr>
                              <w:rFonts w:ascii="Arial" w:hAnsi="Arial"/>
                              <w:outline w:val="0"/>
                              <w:color w:val="ffffff"/>
                              <w:sz w:val="16"/>
                              <w:szCs w:val="16"/>
                              <w:u w:color="ffffff"/>
                              <w:rtl w:val="0"/>
                              <w:lang w:val="en-US"/>
                              <w14:textFill>
                                <w14:solidFill>
                                  <w14:srgbClr w14:val="FFFFFF"/>
                                </w14:solidFill>
                              </w14:textFill>
                            </w:rPr>
                            <w:t>J Pain Relief</w:t>
                          </w:r>
                        </w:p>
                        <w:p>
                          <w:pPr>
                            <w:pStyle w:val="Body"/>
                            <w:spacing w:before="8"/>
                            <w:ind w:left="20" w:firstLine="0"/>
                          </w:pPr>
                          <w:r>
                            <w:rPr>
                              <w:rFonts w:ascii="Arial" w:hAnsi="Arial"/>
                              <w:outline w:val="0"/>
                              <w:color w:val="ffffff"/>
                              <w:sz w:val="16"/>
                              <w:szCs w:val="16"/>
                              <w:u w:color="ffffff"/>
                              <w:rtl w:val="0"/>
                              <w:lang w:val="en-US"/>
                              <w14:textFill>
                                <w14:solidFill>
                                  <w14:srgbClr w14:val="FFFFFF"/>
                                </w14:solidFill>
                              </w14:textFill>
                            </w:rPr>
                            <w:t>ISSN: 2167-0846 JPAR an open access journa</w:t>
                          </w:r>
                        </w:p>
                      </w:txbxContent>
                    </wps:txbx>
                    <wps:bodyPr wrap="square" lIns="45719" tIns="45719" rIns="45719" bIns="45719" numCol="1" anchor="t">
                      <a:noAutofit/>
                    </wps:bodyPr>
                  </wps:wsp>
                </a:graphicData>
              </a:graphic>
            </wp:anchor>
          </w:drawing>
        </mc:Choice>
        <mc:Fallback>
          <w:pict>
            <v:shape id="_x0000_s1030" type="#_x0000_t202" style="visibility:visible;position:absolute;margin-left:38.6pt;margin-top:798.8pt;width:161.0pt;height:19.6pt;z-index:-25165619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184" w:lineRule="exact"/>
                      <w:ind w:left="20" w:firstLine="0"/>
                      <w:rPr>
                        <w:rFonts w:ascii="Arial" w:cs="Arial" w:hAnsi="Arial" w:eastAsia="Arial"/>
                        <w:outline w:val="0"/>
                        <w:color w:val="ffffff"/>
                        <w:sz w:val="16"/>
                        <w:szCs w:val="16"/>
                        <w:u w:color="ffffff"/>
                        <w14:textFill>
                          <w14:solidFill>
                            <w14:srgbClr w14:val="FFFFFF"/>
                          </w14:solidFill>
                        </w14:textFill>
                      </w:rPr>
                    </w:pPr>
                    <w:r>
                      <w:rPr>
                        <w:rFonts w:ascii="Arial" w:hAnsi="Arial"/>
                        <w:outline w:val="0"/>
                        <w:color w:val="ffffff"/>
                        <w:sz w:val="16"/>
                        <w:szCs w:val="16"/>
                        <w:u w:color="ffffff"/>
                        <w:rtl w:val="0"/>
                        <w:lang w:val="en-US"/>
                        <w14:textFill>
                          <w14:solidFill>
                            <w14:srgbClr w14:val="FFFFFF"/>
                          </w14:solidFill>
                        </w14:textFill>
                      </w:rPr>
                      <w:t>J Pain Relief</w:t>
                    </w:r>
                  </w:p>
                  <w:p>
                    <w:pPr>
                      <w:pStyle w:val="Body"/>
                      <w:spacing w:before="8"/>
                      <w:ind w:left="20" w:firstLine="0"/>
                    </w:pPr>
                    <w:r>
                      <w:rPr>
                        <w:rFonts w:ascii="Arial" w:hAnsi="Arial"/>
                        <w:outline w:val="0"/>
                        <w:color w:val="ffffff"/>
                        <w:sz w:val="16"/>
                        <w:szCs w:val="16"/>
                        <w:u w:color="ffffff"/>
                        <w:rtl w:val="0"/>
                        <w:lang w:val="en-US"/>
                        <w14:textFill>
                          <w14:solidFill>
                            <w14:srgbClr w14:val="FFFFFF"/>
                          </w14:solidFill>
                        </w14:textFill>
                      </w:rPr>
                      <w:t>ISSN: 2167-0846 JPAR an open access journa</w:t>
                    </w:r>
                  </w:p>
                </w:txbxContent>
              </v:textbox>
              <w10:wrap type="none" side="bothSides" anchorx="page" anchory="page"/>
            </v:shape>
          </w:pict>
        </mc:Fallback>
      </mc:AlternateContent>
    </w:r>
    <w:r>
      <mc:AlternateContent>
        <mc:Choice Requires="wps">
          <w:drawing xmlns:a="http://schemas.openxmlformats.org/drawingml/2006/main">
            <wp:anchor distT="152400" distB="152400" distL="152400" distR="152400" simplePos="0" relativeHeight="251661312" behindDoc="1" locked="0" layoutInCell="1" allowOverlap="1">
              <wp:simplePos x="0" y="0"/>
              <wp:positionH relativeFrom="page">
                <wp:posOffset>3247390</wp:posOffset>
              </wp:positionH>
              <wp:positionV relativeFrom="page">
                <wp:posOffset>10147300</wp:posOffset>
              </wp:positionV>
              <wp:extent cx="1075691" cy="317500"/>
              <wp:effectExtent l="0" t="0" r="0" b="0"/>
              <wp:wrapNone/>
              <wp:docPr id="1073741828" name="officeArt object"/>
              <wp:cNvGraphicFramePr/>
              <a:graphic xmlns:a="http://schemas.openxmlformats.org/drawingml/2006/main">
                <a:graphicData uri="http://schemas.microsoft.com/office/word/2010/wordprocessingShape">
                  <wps:wsp>
                    <wps:cNvSpPr txBox="1"/>
                    <wps:spPr>
                      <a:xfrm>
                        <a:off x="0" y="0"/>
                        <a:ext cx="1075691" cy="317500"/>
                      </a:xfrm>
                      <a:prstGeom prst="rect">
                        <a:avLst/>
                      </a:prstGeom>
                      <a:noFill/>
                      <a:ln w="12700" cap="flat">
                        <a:noFill/>
                        <a:miter lim="400000"/>
                      </a:ln>
                      <a:effectLst/>
                    </wps:spPr>
                    <wps:txbx>
                      <w:txbxContent>
                        <w:p>
                          <w:pPr>
                            <w:pStyle w:val="Body"/>
                            <w:spacing w:line="269" w:lineRule="exact"/>
                            <w:jc w:val="center"/>
                            <w:rPr>
                              <w:rFonts w:ascii="Impact" w:cs="Impact" w:hAnsi="Impact" w:eastAsia="Impact"/>
                              <w:outline w:val="0"/>
                              <w:color w:val="ffffff"/>
                              <w:sz w:val="24"/>
                              <w:szCs w:val="24"/>
                              <w:u w:color="ffffff"/>
                              <w14:textFill>
                                <w14:solidFill>
                                  <w14:srgbClr w14:val="FFFFFF"/>
                                </w14:solidFill>
                              </w14:textFill>
                            </w:rPr>
                          </w:pPr>
                          <w:r>
                            <w:rPr>
                              <w:rFonts w:ascii="Impact" w:hAnsi="Impact"/>
                              <w:outline w:val="0"/>
                              <w:color w:val="ffffff"/>
                              <w:sz w:val="24"/>
                              <w:szCs w:val="24"/>
                              <w:u w:color="ffffff"/>
                              <w:rtl w:val="0"/>
                              <w:lang w:val="it-IT"/>
                              <w14:textFill>
                                <w14:solidFill>
                                  <w14:srgbClr w14:val="FFFFFF"/>
                                </w14:solidFill>
                              </w14:textFill>
                            </w:rPr>
                            <w:t>Fibromyalgia 2016</w:t>
                          </w:r>
                        </w:p>
                        <w:p>
                          <w:pPr>
                            <w:pStyle w:val="Body"/>
                            <w:spacing w:before="29"/>
                            <w:jc w:val="center"/>
                          </w:pPr>
                          <w:r>
                            <w:rPr>
                              <w:rFonts w:ascii="Arial" w:hAnsi="Arial"/>
                              <w:outline w:val="0"/>
                              <w:color w:val="ffffff"/>
                              <w:sz w:val="16"/>
                              <w:szCs w:val="16"/>
                              <w:u w:color="ffffff"/>
                              <w:rtl w:val="0"/>
                              <w:lang w:val="en-US"/>
                              <w14:textFill>
                                <w14:solidFill>
                                  <w14:srgbClr w14:val="FFFFFF"/>
                                </w14:solidFill>
                              </w14:textFill>
                            </w:rPr>
                            <w:t>June 15-16, 2016</w:t>
                          </w:r>
                        </w:p>
                      </w:txbxContent>
                    </wps:txbx>
                    <wps:bodyPr wrap="square" lIns="45719" tIns="45719" rIns="45719" bIns="45719" numCol="1" anchor="t">
                      <a:noAutofit/>
                    </wps:bodyPr>
                  </wps:wsp>
                </a:graphicData>
              </a:graphic>
            </wp:anchor>
          </w:drawing>
        </mc:Choice>
        <mc:Fallback>
          <w:pict>
            <v:shape id="_x0000_s1031" type="#_x0000_t202" style="visibility:visible;position:absolute;margin-left:255.7pt;margin-top:799.0pt;width:84.7pt;height:25.0pt;z-index:-25165516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269" w:lineRule="exact"/>
                      <w:jc w:val="center"/>
                      <w:rPr>
                        <w:rFonts w:ascii="Impact" w:cs="Impact" w:hAnsi="Impact" w:eastAsia="Impact"/>
                        <w:outline w:val="0"/>
                        <w:color w:val="ffffff"/>
                        <w:sz w:val="24"/>
                        <w:szCs w:val="24"/>
                        <w:u w:color="ffffff"/>
                        <w14:textFill>
                          <w14:solidFill>
                            <w14:srgbClr w14:val="FFFFFF"/>
                          </w14:solidFill>
                        </w14:textFill>
                      </w:rPr>
                    </w:pPr>
                    <w:r>
                      <w:rPr>
                        <w:rFonts w:ascii="Impact" w:hAnsi="Impact"/>
                        <w:outline w:val="0"/>
                        <w:color w:val="ffffff"/>
                        <w:sz w:val="24"/>
                        <w:szCs w:val="24"/>
                        <w:u w:color="ffffff"/>
                        <w:rtl w:val="0"/>
                        <w:lang w:val="it-IT"/>
                        <w14:textFill>
                          <w14:solidFill>
                            <w14:srgbClr w14:val="FFFFFF"/>
                          </w14:solidFill>
                        </w14:textFill>
                      </w:rPr>
                      <w:t>Fibromyalgia 2016</w:t>
                    </w:r>
                  </w:p>
                  <w:p>
                    <w:pPr>
                      <w:pStyle w:val="Body"/>
                      <w:spacing w:before="29"/>
                      <w:jc w:val="center"/>
                    </w:pPr>
                    <w:r>
                      <w:rPr>
                        <w:rFonts w:ascii="Arial" w:hAnsi="Arial"/>
                        <w:outline w:val="0"/>
                        <w:color w:val="ffffff"/>
                        <w:sz w:val="16"/>
                        <w:szCs w:val="16"/>
                        <w:u w:color="ffffff"/>
                        <w:rtl w:val="0"/>
                        <w:lang w:val="en-US"/>
                        <w14:textFill>
                          <w14:solidFill>
                            <w14:srgbClr w14:val="FFFFFF"/>
                          </w14:solidFill>
                        </w14:textFill>
                      </w:rPr>
                      <w:t>June 15-16, 2016</w:t>
                    </w:r>
                  </w:p>
                </w:txbxContent>
              </v:textbox>
              <w10:wrap type="none" side="bothSides" anchorx="page" anchory="page"/>
            </v:shape>
          </w:pict>
        </mc:Fallback>
      </mc:AlternateContent>
    </w:r>
    <w:r>
      <mc:AlternateContent>
        <mc:Choice Requires="wps">
          <w:drawing xmlns:a="http://schemas.openxmlformats.org/drawingml/2006/main">
            <wp:anchor distT="152400" distB="152400" distL="152400" distR="152400" simplePos="0" relativeHeight="251662336" behindDoc="1" locked="0" layoutInCell="1" allowOverlap="1">
              <wp:simplePos x="0" y="0"/>
              <wp:positionH relativeFrom="page">
                <wp:posOffset>6000749</wp:posOffset>
              </wp:positionH>
              <wp:positionV relativeFrom="page">
                <wp:posOffset>10144759</wp:posOffset>
              </wp:positionV>
              <wp:extent cx="1069340" cy="330200"/>
              <wp:effectExtent l="0" t="0" r="0" b="0"/>
              <wp:wrapNone/>
              <wp:docPr id="1073741829" name="officeArt object"/>
              <wp:cNvGraphicFramePr/>
              <a:graphic xmlns:a="http://schemas.openxmlformats.org/drawingml/2006/main">
                <a:graphicData uri="http://schemas.microsoft.com/office/word/2010/wordprocessingShape">
                  <wps:wsp>
                    <wps:cNvSpPr txBox="1"/>
                    <wps:spPr>
                      <a:xfrm>
                        <a:off x="0" y="0"/>
                        <a:ext cx="1069340" cy="330200"/>
                      </a:xfrm>
                      <a:prstGeom prst="rect">
                        <a:avLst/>
                      </a:prstGeom>
                      <a:noFill/>
                      <a:ln w="12700" cap="flat">
                        <a:noFill/>
                        <a:miter lim="400000"/>
                      </a:ln>
                      <a:effectLst/>
                    </wps:spPr>
                    <wps:txbx>
                      <w:txbxContent>
                        <w:p>
                          <w:pPr>
                            <w:pStyle w:val="Body"/>
                            <w:spacing w:line="184" w:lineRule="exact"/>
                            <w:ind w:right="18"/>
                            <w:jc w:val="right"/>
                            <w:rPr>
                              <w:rFonts w:ascii="Arial" w:cs="Arial" w:hAnsi="Arial" w:eastAsia="Arial"/>
                              <w:outline w:val="0"/>
                              <w:color w:val="ffffff"/>
                              <w:sz w:val="16"/>
                              <w:szCs w:val="16"/>
                              <w:u w:color="ffffff"/>
                              <w14:textFill>
                                <w14:solidFill>
                                  <w14:srgbClr w14:val="FFFFFF"/>
                                </w14:solidFill>
                              </w14:textFill>
                            </w:rPr>
                          </w:pPr>
                          <w:r>
                            <w:rPr>
                              <w:rFonts w:ascii="Arial" w:hAnsi="Arial"/>
                              <w:outline w:val="0"/>
                              <w:color w:val="ffffff"/>
                              <w:sz w:val="16"/>
                              <w:szCs w:val="16"/>
                              <w:u w:color="ffffff"/>
                              <w:rtl w:val="0"/>
                              <w:lang w:val="en-US"/>
                              <w14:textFill>
                                <w14:solidFill>
                                  <w14:srgbClr w14:val="FFFFFF"/>
                                </w14:solidFill>
                              </w14:textFill>
                            </w:rPr>
                            <w:t>Volume 5, Issue 3(Suppl)</w:t>
                          </w:r>
                        </w:p>
                        <w:p>
                          <w:pPr>
                            <w:pStyle w:val="Body"/>
                            <w:spacing w:before="116"/>
                            <w:ind w:right="18"/>
                            <w:jc w:val="right"/>
                          </w:pPr>
                          <w:r>
                            <w:rPr>
                              <w:rFonts w:ascii="Minion Pro" w:cs="Minion Pro" w:hAnsi="Minion Pro" w:eastAsia="Minion Pro"/>
                              <w:outline w:val="0"/>
                              <w:color w:val="ffffff"/>
                              <w:sz w:val="16"/>
                              <w:szCs w:val="16"/>
                              <w:u w:color="ffffff"/>
                              <w:rtl w:val="0"/>
                              <w:lang w:val="da-DK"/>
                              <w14:textFill>
                                <w14:solidFill>
                                  <w14:srgbClr w14:val="FFFFFF"/>
                                </w14:solidFill>
                              </w14:textFill>
                            </w:rPr>
                            <w:t>Page 40</w:t>
                          </w:r>
                        </w:p>
                      </w:txbxContent>
                    </wps:txbx>
                    <wps:bodyPr wrap="square" lIns="45719" tIns="45719" rIns="45719" bIns="45719" numCol="1" anchor="t">
                      <a:noAutofit/>
                    </wps:bodyPr>
                  </wps:wsp>
                </a:graphicData>
              </a:graphic>
            </wp:anchor>
          </w:drawing>
        </mc:Choice>
        <mc:Fallback>
          <w:pict>
            <v:shape id="_x0000_s1032" type="#_x0000_t202" style="visibility:visible;position:absolute;margin-left:472.5pt;margin-top:798.8pt;width:84.2pt;height:26.0pt;z-index:-25165414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184" w:lineRule="exact"/>
                      <w:ind w:right="18"/>
                      <w:jc w:val="right"/>
                      <w:rPr>
                        <w:rFonts w:ascii="Arial" w:cs="Arial" w:hAnsi="Arial" w:eastAsia="Arial"/>
                        <w:outline w:val="0"/>
                        <w:color w:val="ffffff"/>
                        <w:sz w:val="16"/>
                        <w:szCs w:val="16"/>
                        <w:u w:color="ffffff"/>
                        <w14:textFill>
                          <w14:solidFill>
                            <w14:srgbClr w14:val="FFFFFF"/>
                          </w14:solidFill>
                        </w14:textFill>
                      </w:rPr>
                    </w:pPr>
                    <w:r>
                      <w:rPr>
                        <w:rFonts w:ascii="Arial" w:hAnsi="Arial"/>
                        <w:outline w:val="0"/>
                        <w:color w:val="ffffff"/>
                        <w:sz w:val="16"/>
                        <w:szCs w:val="16"/>
                        <w:u w:color="ffffff"/>
                        <w:rtl w:val="0"/>
                        <w:lang w:val="en-US"/>
                        <w14:textFill>
                          <w14:solidFill>
                            <w14:srgbClr w14:val="FFFFFF"/>
                          </w14:solidFill>
                        </w14:textFill>
                      </w:rPr>
                      <w:t>Volume 5, Issue 3(Suppl)</w:t>
                    </w:r>
                  </w:p>
                  <w:p>
                    <w:pPr>
                      <w:pStyle w:val="Body"/>
                      <w:spacing w:before="116"/>
                      <w:ind w:right="18"/>
                      <w:jc w:val="right"/>
                    </w:pPr>
                    <w:r>
                      <w:rPr>
                        <w:rFonts w:ascii="Minion Pro" w:cs="Minion Pro" w:hAnsi="Minion Pro" w:eastAsia="Minion Pro"/>
                        <w:outline w:val="0"/>
                        <w:color w:val="ffffff"/>
                        <w:sz w:val="16"/>
                        <w:szCs w:val="16"/>
                        <w:u w:color="ffffff"/>
                        <w:rtl w:val="0"/>
                        <w:lang w:val="da-DK"/>
                        <w14:textFill>
                          <w14:solidFill>
                            <w14:srgbClr w14:val="FFFFFF"/>
                          </w14:solidFill>
                        </w14:textFill>
                      </w:rPr>
                      <w:t>Page 40</w:t>
                    </w:r>
                  </w:p>
                </w:txbxContent>
              </v:textbox>
              <w10:wrap type="none" side="bothSides" anchorx="page" anchory="page"/>
            </v:shape>
          </w:pict>
        </mc:Fallback>
      </mc:AlternateContent>
    </w: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Text">
    <w:name w:val="Body Text"/>
    <w:next w:val="Body Tex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18"/>
      <w:szCs w:val="18"/>
      <w:u w:val="none" w:color="000000"/>
      <w:shd w:val="nil" w:color="auto" w:fill="auto"/>
      <w:vertAlign w:val="baseline"/>
      <w:lang w:val="en-US"/>
      <w14:textFill>
        <w14:solidFill>
          <w14:srgbClr w14:val="000000"/>
        </w14:solidFill>
      </w14:textFill>
    </w:rPr>
  </w:style>
  <w:style w:type="paragraph" w:styleId="Body">
    <w:name w:val="Body"/>
    <w:next w:val="Body"/>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character" w:styleId="Hyperlink.0">
    <w:name w:val="Hyperlink.0"/>
    <w:rPr>
      <w:rFonts w:ascii="Arial" w:hAnsi="Arial"/>
      <w:outline w:val="0"/>
      <w:color w:val="ffffff"/>
      <w:sz w:val="14"/>
      <w:szCs w:val="14"/>
      <w:u w:color="ffffff"/>
      <w14:textFill>
        <w14:solidFill>
          <w14:srgbClr w14:val="FFFFFF"/>
        </w14:solidFill>
      </w14:textFill>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Heading">
    <w:name w:val="Heading"/>
    <w:next w:val="Heading"/>
    <w:pPr>
      <w:keepNext w:val="0"/>
      <w:keepLines w:val="0"/>
      <w:pageBreakBefore w:val="0"/>
      <w:widowControl w:val="0"/>
      <w:shd w:val="clear" w:color="auto" w:fill="auto"/>
      <w:suppressAutoHyphens w:val="0"/>
      <w:bidi w:val="0"/>
      <w:spacing w:before="47" w:after="0" w:line="400" w:lineRule="exact"/>
      <w:ind w:left="100" w:right="0" w:firstLine="0"/>
      <w:jc w:val="left"/>
      <w:outlineLvl w:val="0"/>
    </w:pPr>
    <w:rPr>
      <w:rFonts w:ascii="Minion Pro" w:cs="Minion Pro" w:hAnsi="Minion Pro" w:eastAsia="Minion Pro"/>
      <w:b w:val="1"/>
      <w:bCs w:val="1"/>
      <w:i w:val="0"/>
      <w:iCs w:val="0"/>
      <w:caps w:val="0"/>
      <w:smallCaps w:val="0"/>
      <w:strike w:val="0"/>
      <w:dstrike w:val="0"/>
      <w:outline w:val="0"/>
      <w:color w:val="000000"/>
      <w:spacing w:val="0"/>
      <w:kern w:val="0"/>
      <w:position w:val="0"/>
      <w:sz w:val="36"/>
      <w:szCs w:val="36"/>
      <w:u w:val="none" w:color="000000"/>
      <w:shd w:val="nil" w:color="auto" w:fill="auto"/>
      <w:vertAlign w:val="baseline"/>
      <w14:textOutline>
        <w14:noFill/>
      </w14:textOutline>
      <w14:textFill>
        <w14:solidFill>
          <w14:srgbClr w14:val="000000"/>
        </w14:solidFill>
      </w14:textFill>
    </w:rPr>
  </w:style>
  <w:style w:type="character" w:styleId="None A">
    <w:name w:val="None A"/>
  </w:style>
  <w:style w:type="paragraph" w:styleId="Heading 3">
    <w:name w:val="Heading 3"/>
    <w:next w:val="Heading 3"/>
    <w:pPr>
      <w:keepNext w:val="0"/>
      <w:keepLines w:val="0"/>
      <w:pageBreakBefore w:val="0"/>
      <w:widowControl w:val="0"/>
      <w:shd w:val="clear" w:color="auto" w:fill="auto"/>
      <w:suppressAutoHyphens w:val="0"/>
      <w:bidi w:val="0"/>
      <w:spacing w:before="0" w:after="0" w:line="240" w:lineRule="auto"/>
      <w:ind w:left="100" w:right="0" w:firstLine="0"/>
      <w:jc w:val="left"/>
      <w:outlineLvl w:val="1"/>
    </w:pPr>
    <w:rPr>
      <w:rFonts w:ascii="Arial" w:cs="Arial Unicode MS" w:hAnsi="Arial" w:eastAsia="Arial Unicode MS"/>
      <w:b w:val="1"/>
      <w:bCs w:val="1"/>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Outline>
        <w14:noFill/>
      </w14:textOutline>
      <w14:textFill>
        <w14:solidFill>
          <w14:srgbClr w14:val="000000"/>
        </w14:solidFill>
      </w14:textFill>
    </w:rPr>
  </w:style>
  <w:style w:type="character" w:styleId="None">
    <w:name w:val="None"/>
  </w:style>
  <w:style w:type="character" w:styleId="Hyperlink.1">
    <w:name w:val="Hyperlink.1"/>
    <w:basedOn w:val="None"/>
    <w:next w:val="Hyperlink.1"/>
    <w:rPr>
      <w:outline w:val="0"/>
      <w:color w:val="0000ff"/>
      <w:u w:val="single" w:color="0000ff"/>
      <w14:textFill>
        <w14:solidFill>
          <w14:srgbClr w14:val="0000FF"/>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image" Target="media/image1.tif"/><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