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B8B47A" w14:textId="659E6766" w:rsidR="0079406D" w:rsidRDefault="00515691" w:rsidP="0079406D">
      <w:pPr>
        <w:spacing w:before="120" w:after="240" w:line="240" w:lineRule="auto"/>
        <w:contextualSpacing/>
        <w:jc w:val="both"/>
        <w:rPr>
          <w:rFonts w:eastAsia="Calibri" w:cstheme="minorHAnsi"/>
          <w:b/>
          <w:bCs/>
          <w:color w:val="000000" w:themeColor="text1"/>
          <w:sz w:val="24"/>
          <w:lang w:val="en-US" w:eastAsia="en-US"/>
        </w:rPr>
      </w:pPr>
      <w:r>
        <w:rPr>
          <w:rFonts w:eastAsia="Calibri" w:cstheme="minorHAnsi"/>
          <w:b/>
          <w:bCs/>
          <w:color w:val="000000" w:themeColor="text1"/>
          <w:sz w:val="24"/>
          <w:lang w:val="en-US" w:eastAsia="en-US"/>
        </w:rPr>
        <w:t>Abstract ICIID2021</w:t>
      </w:r>
    </w:p>
    <w:p w14:paraId="3C74BDB4" w14:textId="77777777" w:rsidR="00515691" w:rsidRDefault="00515691" w:rsidP="0079406D">
      <w:pPr>
        <w:spacing w:before="120" w:after="240" w:line="240" w:lineRule="auto"/>
        <w:contextualSpacing/>
        <w:jc w:val="both"/>
        <w:rPr>
          <w:rFonts w:eastAsia="Calibri" w:cstheme="minorHAnsi"/>
          <w:b/>
          <w:bCs/>
          <w:color w:val="000000" w:themeColor="text1"/>
          <w:sz w:val="24"/>
          <w:lang w:val="en-US" w:eastAsia="en-US"/>
        </w:rPr>
      </w:pPr>
    </w:p>
    <w:p w14:paraId="6917ABA7" w14:textId="67AD671F" w:rsidR="0079406D" w:rsidRPr="0079406D" w:rsidRDefault="0079406D" w:rsidP="0079406D">
      <w:pPr>
        <w:spacing w:before="120" w:after="240" w:line="240" w:lineRule="auto"/>
        <w:contextualSpacing/>
        <w:jc w:val="both"/>
        <w:rPr>
          <w:rFonts w:eastAsia="Calibri" w:cstheme="minorHAnsi"/>
          <w:color w:val="000000" w:themeColor="text1"/>
          <w:sz w:val="24"/>
          <w:szCs w:val="24"/>
          <w:lang w:val="en-US" w:eastAsia="en-US"/>
        </w:rPr>
      </w:pPr>
      <w:r>
        <w:rPr>
          <w:rFonts w:eastAsia="Calibri" w:cstheme="minorHAnsi"/>
          <w:b/>
          <w:bCs/>
          <w:color w:val="000000" w:themeColor="text1"/>
          <w:sz w:val="24"/>
          <w:lang w:val="en-US" w:eastAsia="en-US"/>
        </w:rPr>
        <w:t xml:space="preserve">Introduction </w:t>
      </w:r>
      <w:r w:rsidRPr="0079406D">
        <w:rPr>
          <w:rFonts w:eastAsia="Calibri" w:cstheme="minorHAnsi"/>
          <w:color w:val="000000" w:themeColor="text1"/>
          <w:sz w:val="24"/>
          <w:lang w:val="en-US" w:eastAsia="en-US"/>
        </w:rPr>
        <w:t xml:space="preserve">The pro-hormone </w:t>
      </w:r>
      <w:proofErr w:type="spellStart"/>
      <w:r w:rsidRPr="0079406D">
        <w:rPr>
          <w:rFonts w:eastAsia="Calibri" w:cstheme="minorHAnsi"/>
          <w:color w:val="000000" w:themeColor="text1"/>
          <w:sz w:val="24"/>
          <w:lang w:val="en-US" w:eastAsia="en-US"/>
        </w:rPr>
        <w:t>chromogranin</w:t>
      </w:r>
      <w:proofErr w:type="spellEnd"/>
      <w:r w:rsidRPr="0079406D">
        <w:rPr>
          <w:rFonts w:eastAsia="Calibri" w:cstheme="minorHAnsi"/>
          <w:color w:val="000000" w:themeColor="text1"/>
          <w:sz w:val="24"/>
          <w:lang w:val="en-US" w:eastAsia="en-US"/>
        </w:rPr>
        <w:t xml:space="preserve"> A (</w:t>
      </w:r>
      <w:proofErr w:type="spellStart"/>
      <w:r w:rsidRPr="0079406D">
        <w:rPr>
          <w:rFonts w:eastAsia="Calibri" w:cstheme="minorHAnsi"/>
          <w:color w:val="000000" w:themeColor="text1"/>
          <w:sz w:val="24"/>
          <w:lang w:val="en-US" w:eastAsia="en-US"/>
        </w:rPr>
        <w:t>CgA</w:t>
      </w:r>
      <w:proofErr w:type="spellEnd"/>
      <w:r w:rsidRPr="0079406D">
        <w:rPr>
          <w:rFonts w:eastAsia="Calibri" w:cstheme="minorHAnsi"/>
          <w:color w:val="000000" w:themeColor="text1"/>
          <w:sz w:val="24"/>
          <w:lang w:val="en-US" w:eastAsia="en-US"/>
        </w:rPr>
        <w:t>) and its bioactive cleavage product catestatin (CST) are both associated with inflammatory bowel disease (IBD)</w:t>
      </w:r>
      <w:r w:rsidRPr="0079406D">
        <w:rPr>
          <w:rFonts w:eastAsia="Calibri" w:cstheme="minorHAnsi"/>
          <w:noProof/>
          <w:color w:val="000000" w:themeColor="text1"/>
          <w:sz w:val="24"/>
          <w:vertAlign w:val="superscript"/>
          <w:lang w:val="en-US" w:eastAsia="en-US"/>
        </w:rPr>
        <w:t xml:space="preserve"> </w:t>
      </w:r>
      <w:r w:rsidRPr="0079406D">
        <w:rPr>
          <w:rFonts w:eastAsia="Calibri" w:cstheme="minorHAnsi"/>
          <w:color w:val="000000" w:themeColor="text1"/>
          <w:sz w:val="24"/>
          <w:lang w:val="en-US" w:eastAsia="en-US"/>
        </w:rPr>
        <w:t>and low diversity of the gut microbiome, but their exact role is unknown.</w:t>
      </w:r>
      <w:r w:rsidRPr="0079406D">
        <w:rPr>
          <w:rFonts w:eastAsia="Calibri" w:cstheme="minorHAnsi"/>
          <w:color w:val="000000" w:themeColor="text1"/>
          <w:sz w:val="24"/>
          <w:szCs w:val="24"/>
          <w:lang w:val="en-US" w:eastAsia="en-US"/>
        </w:rPr>
        <w:t xml:space="preserve"> Here, we demonstrate that </w:t>
      </w:r>
      <w:proofErr w:type="spellStart"/>
      <w:r w:rsidRPr="0079406D">
        <w:rPr>
          <w:rFonts w:eastAsia="Calibri" w:cstheme="minorHAnsi"/>
          <w:color w:val="000000" w:themeColor="text1"/>
          <w:sz w:val="24"/>
          <w:szCs w:val="24"/>
          <w:lang w:val="en-US" w:eastAsia="en-US"/>
        </w:rPr>
        <w:t>CgA</w:t>
      </w:r>
      <w:proofErr w:type="spellEnd"/>
      <w:r w:rsidRPr="0079406D">
        <w:rPr>
          <w:rFonts w:eastAsia="Calibri" w:cstheme="minorHAnsi"/>
          <w:color w:val="000000" w:themeColor="text1"/>
          <w:sz w:val="24"/>
          <w:szCs w:val="24"/>
          <w:lang w:val="en-US" w:eastAsia="en-US"/>
        </w:rPr>
        <w:t xml:space="preserve"> and CST oppositely regulate gut morphology, barrier function and microbial composition. </w:t>
      </w:r>
    </w:p>
    <w:p w14:paraId="4C21037A" w14:textId="2D05F3E6" w:rsidR="0079406D" w:rsidRPr="0079406D" w:rsidRDefault="0079406D" w:rsidP="0079406D">
      <w:pPr>
        <w:spacing w:before="120" w:after="240" w:line="240" w:lineRule="auto"/>
        <w:contextualSpacing/>
        <w:jc w:val="both"/>
        <w:rPr>
          <w:rFonts w:eastAsia="Calibri" w:cstheme="minorHAnsi"/>
          <w:b/>
          <w:bCs/>
          <w:color w:val="000000" w:themeColor="text1"/>
          <w:sz w:val="24"/>
          <w:szCs w:val="24"/>
          <w:lang w:val="en-US" w:eastAsia="en-US"/>
        </w:rPr>
      </w:pPr>
      <w:r w:rsidRPr="0079406D">
        <w:rPr>
          <w:rFonts w:eastAsia="Calibri" w:cstheme="minorHAnsi"/>
          <w:b/>
          <w:bCs/>
          <w:color w:val="000000" w:themeColor="text1"/>
          <w:sz w:val="24"/>
          <w:szCs w:val="24"/>
          <w:lang w:val="en-US" w:eastAsia="en-US"/>
        </w:rPr>
        <w:t xml:space="preserve">Method </w:t>
      </w:r>
      <w:r w:rsidRPr="0079406D">
        <w:rPr>
          <w:rFonts w:eastAsia="Calibri" w:cstheme="minorHAnsi"/>
          <w:color w:val="000000" w:themeColor="text1"/>
          <w:sz w:val="24"/>
          <w:szCs w:val="24"/>
          <w:lang w:val="en-US" w:eastAsia="en-US"/>
        </w:rPr>
        <w:t>We generated</w:t>
      </w:r>
      <w:r w:rsidRPr="0079406D">
        <w:rPr>
          <w:rFonts w:eastAsia="Calibri" w:cstheme="minorHAnsi"/>
          <w:b/>
          <w:bCs/>
          <w:color w:val="000000" w:themeColor="text1"/>
          <w:sz w:val="24"/>
          <w:szCs w:val="24"/>
          <w:lang w:val="en-US" w:eastAsia="en-US"/>
        </w:rPr>
        <w:t xml:space="preserve"> </w:t>
      </w:r>
      <w:r w:rsidRPr="0079406D">
        <w:rPr>
          <w:rFonts w:eastAsia="Times New Roman" w:cstheme="minorHAnsi"/>
          <w:color w:val="000000" w:themeColor="text1"/>
          <w:sz w:val="24"/>
          <w:szCs w:val="24"/>
          <w:lang w:val="en-US" w:eastAsia="en-US"/>
        </w:rPr>
        <w:t xml:space="preserve">mice with selective deletion of the CST-coding region of the </w:t>
      </w:r>
      <w:r w:rsidRPr="0079406D">
        <w:rPr>
          <w:rFonts w:eastAsia="Times New Roman" w:cstheme="minorHAnsi"/>
          <w:i/>
          <w:iCs/>
          <w:color w:val="000000" w:themeColor="text1"/>
          <w:sz w:val="24"/>
          <w:szCs w:val="24"/>
          <w:lang w:val="en-US" w:eastAsia="en-US"/>
        </w:rPr>
        <w:t>ChgA</w:t>
      </w:r>
      <w:r w:rsidRPr="0079406D">
        <w:rPr>
          <w:rFonts w:eastAsia="Times New Roman" w:cstheme="minorHAnsi"/>
          <w:color w:val="000000" w:themeColor="text1"/>
          <w:sz w:val="24"/>
          <w:szCs w:val="24"/>
          <w:lang w:val="en-US" w:eastAsia="en-US"/>
        </w:rPr>
        <w:t xml:space="preserve"> gene (CST-KO). The microbial composition of cecum was determined and colon tissue was analyzed by immunohistochemistry or electron microscopy from CST-KO and </w:t>
      </w:r>
      <w:proofErr w:type="spellStart"/>
      <w:r w:rsidRPr="0079406D">
        <w:rPr>
          <w:rFonts w:eastAsia="Times New Roman" w:cstheme="minorHAnsi"/>
          <w:color w:val="000000" w:themeColor="text1"/>
          <w:sz w:val="24"/>
          <w:szCs w:val="24"/>
          <w:lang w:val="en-US" w:eastAsia="en-US"/>
        </w:rPr>
        <w:t>CgA</w:t>
      </w:r>
      <w:proofErr w:type="spellEnd"/>
      <w:r w:rsidRPr="0079406D">
        <w:rPr>
          <w:rFonts w:eastAsia="Times New Roman" w:cstheme="minorHAnsi"/>
          <w:color w:val="000000" w:themeColor="text1"/>
          <w:sz w:val="24"/>
          <w:szCs w:val="24"/>
          <w:lang w:val="en-US" w:eastAsia="en-US"/>
        </w:rPr>
        <w:t xml:space="preserve">-KO mice. The effects of </w:t>
      </w:r>
      <w:proofErr w:type="spellStart"/>
      <w:r w:rsidRPr="0079406D">
        <w:rPr>
          <w:rFonts w:eastAsia="Times New Roman" w:cstheme="minorHAnsi"/>
          <w:color w:val="000000" w:themeColor="text1"/>
          <w:sz w:val="24"/>
          <w:szCs w:val="24"/>
          <w:lang w:val="en-US" w:eastAsia="en-US"/>
        </w:rPr>
        <w:t>CgA</w:t>
      </w:r>
      <w:proofErr w:type="spellEnd"/>
      <w:r w:rsidRPr="0079406D">
        <w:rPr>
          <w:rFonts w:eastAsia="Times New Roman" w:cstheme="minorHAnsi"/>
          <w:color w:val="000000" w:themeColor="text1"/>
          <w:sz w:val="24"/>
          <w:szCs w:val="24"/>
          <w:lang w:val="en-US" w:eastAsia="en-US"/>
        </w:rPr>
        <w:t xml:space="preserve"> and CST on macrophage activation were determined </w:t>
      </w:r>
      <w:r w:rsidRPr="0079406D">
        <w:rPr>
          <w:rFonts w:eastAsia="Times New Roman" w:cstheme="minorHAnsi"/>
          <w:i/>
          <w:iCs/>
          <w:color w:val="000000" w:themeColor="text1"/>
          <w:sz w:val="24"/>
          <w:szCs w:val="24"/>
          <w:lang w:val="en-US" w:eastAsia="en-US"/>
        </w:rPr>
        <w:t>in vitro</w:t>
      </w:r>
      <w:r w:rsidRPr="0079406D">
        <w:rPr>
          <w:rFonts w:eastAsia="Times New Roman" w:cstheme="minorHAnsi"/>
          <w:color w:val="000000" w:themeColor="text1"/>
          <w:sz w:val="24"/>
          <w:szCs w:val="24"/>
          <w:lang w:val="en-US" w:eastAsia="en-US"/>
        </w:rPr>
        <w:t xml:space="preserve">. Leukocyte recruitment was measured by intravital imaging. </w:t>
      </w:r>
      <w:proofErr w:type="spellStart"/>
      <w:r w:rsidRPr="0079406D">
        <w:rPr>
          <w:rFonts w:eastAsia="Times New Roman" w:cstheme="minorHAnsi"/>
          <w:color w:val="000000" w:themeColor="text1"/>
          <w:sz w:val="24"/>
          <w:szCs w:val="24"/>
          <w:lang w:val="en-US" w:eastAsia="en-US"/>
        </w:rPr>
        <w:t>CgA</w:t>
      </w:r>
      <w:proofErr w:type="spellEnd"/>
      <w:r w:rsidRPr="0079406D">
        <w:rPr>
          <w:rFonts w:eastAsia="Times New Roman" w:cstheme="minorHAnsi"/>
          <w:color w:val="000000" w:themeColor="text1"/>
          <w:sz w:val="24"/>
          <w:szCs w:val="24"/>
          <w:lang w:val="en-US" w:eastAsia="en-US"/>
        </w:rPr>
        <w:t xml:space="preserve"> and CST levels were measured in blood of IBD patients.  </w:t>
      </w:r>
      <w:r w:rsidRPr="0079406D">
        <w:rPr>
          <w:rFonts w:eastAsia="Calibri" w:cstheme="minorHAnsi"/>
          <w:b/>
          <w:bCs/>
          <w:color w:val="000000" w:themeColor="text1"/>
          <w:sz w:val="24"/>
          <w:szCs w:val="24"/>
          <w:lang w:val="en-US" w:eastAsia="en-US"/>
        </w:rPr>
        <w:t xml:space="preserve"> </w:t>
      </w:r>
    </w:p>
    <w:p w14:paraId="18E75207" w14:textId="77777777" w:rsidR="0079406D" w:rsidRDefault="0079406D" w:rsidP="0079406D">
      <w:pPr>
        <w:spacing w:before="120" w:after="240" w:line="240" w:lineRule="auto"/>
        <w:contextualSpacing/>
        <w:jc w:val="both"/>
        <w:rPr>
          <w:rFonts w:eastAsia="Calibri" w:cstheme="minorHAnsi"/>
          <w:color w:val="000000" w:themeColor="text1"/>
          <w:sz w:val="24"/>
          <w:szCs w:val="24"/>
          <w:lang w:val="en-US" w:eastAsia="en-US"/>
        </w:rPr>
      </w:pPr>
      <w:r w:rsidRPr="0079406D">
        <w:rPr>
          <w:rFonts w:eastAsia="Calibri" w:cstheme="minorHAnsi"/>
          <w:b/>
          <w:bCs/>
          <w:color w:val="000000" w:themeColor="text1"/>
          <w:sz w:val="24"/>
          <w:szCs w:val="24"/>
          <w:lang w:val="en-US" w:eastAsia="en-US"/>
        </w:rPr>
        <w:t xml:space="preserve">Results </w:t>
      </w:r>
      <w:r w:rsidRPr="0079406D">
        <w:rPr>
          <w:rFonts w:eastAsia="Calibri" w:cstheme="minorHAnsi"/>
          <w:color w:val="000000" w:themeColor="text1"/>
          <w:sz w:val="24"/>
          <w:szCs w:val="24"/>
          <w:lang w:val="en-US" w:eastAsia="en-US"/>
        </w:rPr>
        <w:t xml:space="preserve">Microbial composition was less diverse and showed an increase in </w:t>
      </w:r>
      <w:r w:rsidRPr="0079406D">
        <w:rPr>
          <w:rFonts w:eastAsia="Calibri" w:cstheme="minorHAnsi"/>
          <w:i/>
          <w:iCs/>
          <w:color w:val="000000" w:themeColor="text1"/>
          <w:sz w:val="24"/>
          <w:szCs w:val="24"/>
          <w:lang w:val="en-US" w:eastAsia="en-US"/>
        </w:rPr>
        <w:t>firmicutes</w:t>
      </w:r>
      <w:r w:rsidRPr="0079406D">
        <w:rPr>
          <w:rFonts w:eastAsia="Calibri" w:cstheme="minorHAnsi"/>
          <w:color w:val="000000" w:themeColor="text1"/>
          <w:sz w:val="24"/>
          <w:szCs w:val="24"/>
          <w:lang w:val="en-US" w:eastAsia="en-US"/>
        </w:rPr>
        <w:t xml:space="preserve"> in CST-KO and </w:t>
      </w:r>
      <w:proofErr w:type="spellStart"/>
      <w:r w:rsidRPr="0079406D">
        <w:rPr>
          <w:rFonts w:eastAsia="Calibri" w:cstheme="minorHAnsi"/>
          <w:color w:val="000000" w:themeColor="text1"/>
          <w:sz w:val="24"/>
          <w:szCs w:val="24"/>
          <w:lang w:val="en-US" w:eastAsia="en-US"/>
        </w:rPr>
        <w:t>CgA</w:t>
      </w:r>
      <w:proofErr w:type="spellEnd"/>
      <w:r w:rsidRPr="0079406D">
        <w:rPr>
          <w:rFonts w:eastAsia="Calibri" w:cstheme="minorHAnsi"/>
          <w:color w:val="000000" w:themeColor="text1"/>
          <w:sz w:val="24"/>
          <w:szCs w:val="24"/>
          <w:lang w:val="en-US" w:eastAsia="en-US"/>
        </w:rPr>
        <w:t xml:space="preserve">-KO mice. Colon length and morphology were partly opposite affected for the KO-mice. Especially the mucus layer was thicker in colon of CST-KO while it was nearly absent in </w:t>
      </w:r>
      <w:proofErr w:type="spellStart"/>
      <w:r w:rsidRPr="0079406D">
        <w:rPr>
          <w:rFonts w:eastAsia="Calibri" w:cstheme="minorHAnsi"/>
          <w:color w:val="000000" w:themeColor="text1"/>
          <w:sz w:val="24"/>
          <w:szCs w:val="24"/>
          <w:lang w:val="en-US" w:eastAsia="en-US"/>
        </w:rPr>
        <w:t>CgA</w:t>
      </w:r>
      <w:proofErr w:type="spellEnd"/>
      <w:r w:rsidRPr="0079406D">
        <w:rPr>
          <w:rFonts w:eastAsia="Calibri" w:cstheme="minorHAnsi"/>
          <w:color w:val="000000" w:themeColor="text1"/>
          <w:sz w:val="24"/>
          <w:szCs w:val="24"/>
          <w:lang w:val="en-US" w:eastAsia="en-US"/>
        </w:rPr>
        <w:t>-KO, which was in line with the amount of goblet cells.</w:t>
      </w:r>
      <w:bookmarkStart w:id="0" w:name="_GoBack"/>
      <w:bookmarkEnd w:id="0"/>
      <w:r w:rsidRPr="0079406D">
        <w:rPr>
          <w:rFonts w:eastAsia="Calibri" w:cstheme="minorHAnsi"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Pr="0079406D">
        <w:rPr>
          <w:rFonts w:eastAsia="Calibri" w:cstheme="minorHAnsi"/>
          <w:color w:val="000000" w:themeColor="text1"/>
          <w:sz w:val="24"/>
          <w:szCs w:val="24"/>
          <w:lang w:val="en-US" w:eastAsia="en-US"/>
        </w:rPr>
        <w:t>CgA</w:t>
      </w:r>
      <w:proofErr w:type="spellEnd"/>
      <w:r w:rsidRPr="0079406D">
        <w:rPr>
          <w:rFonts w:eastAsia="Calibri" w:cstheme="minorHAnsi"/>
          <w:color w:val="000000" w:themeColor="text1"/>
          <w:sz w:val="24"/>
          <w:szCs w:val="24"/>
          <w:lang w:val="en-US" w:eastAsia="en-US"/>
        </w:rPr>
        <w:t xml:space="preserve"> also promoted production of tumor necrosis factor (TNF)-α, which is required for epithelial barrier integrity. Both KO mice, showed reduced macrophage infiltration, while both </w:t>
      </w:r>
      <w:proofErr w:type="spellStart"/>
      <w:r w:rsidRPr="0079406D">
        <w:rPr>
          <w:rFonts w:eastAsia="Calibri" w:cstheme="minorHAnsi"/>
          <w:color w:val="000000" w:themeColor="text1"/>
          <w:sz w:val="24"/>
          <w:szCs w:val="24"/>
          <w:lang w:val="en-US" w:eastAsia="en-US"/>
        </w:rPr>
        <w:t>CgA</w:t>
      </w:r>
      <w:proofErr w:type="spellEnd"/>
      <w:r w:rsidRPr="0079406D">
        <w:rPr>
          <w:rFonts w:eastAsia="Calibri" w:cstheme="minorHAnsi"/>
          <w:color w:val="000000" w:themeColor="text1"/>
          <w:sz w:val="24"/>
          <w:szCs w:val="24"/>
          <w:lang w:val="en-US" w:eastAsia="en-US"/>
        </w:rPr>
        <w:t xml:space="preserve"> and CST promoted leukocyte recruitment. Blood plasma </w:t>
      </w:r>
      <w:proofErr w:type="spellStart"/>
      <w:r w:rsidRPr="0079406D">
        <w:rPr>
          <w:rFonts w:eastAsia="Calibri" w:cstheme="minorHAnsi"/>
          <w:color w:val="000000" w:themeColor="text1"/>
          <w:sz w:val="24"/>
          <w:szCs w:val="24"/>
          <w:lang w:val="en-US" w:eastAsia="en-US"/>
        </w:rPr>
        <w:t>CgA</w:t>
      </w:r>
      <w:proofErr w:type="spellEnd"/>
      <w:r w:rsidRPr="0079406D">
        <w:rPr>
          <w:rFonts w:eastAsia="Calibri" w:cstheme="minorHAnsi"/>
          <w:color w:val="000000" w:themeColor="text1"/>
          <w:sz w:val="24"/>
          <w:szCs w:val="24"/>
          <w:lang w:val="en-US" w:eastAsia="en-US"/>
        </w:rPr>
        <w:t xml:space="preserve"> levels were increased in patients with IBD in flare-ups while CST was higher in remission, suggesting that the contrasting activities of </w:t>
      </w:r>
      <w:proofErr w:type="spellStart"/>
      <w:r w:rsidRPr="0079406D">
        <w:rPr>
          <w:rFonts w:eastAsia="Calibri" w:cstheme="minorHAnsi"/>
          <w:color w:val="000000" w:themeColor="text1"/>
          <w:sz w:val="24"/>
          <w:szCs w:val="24"/>
          <w:lang w:val="en-US" w:eastAsia="en-US"/>
        </w:rPr>
        <w:t>CgA</w:t>
      </w:r>
      <w:proofErr w:type="spellEnd"/>
      <w:r w:rsidRPr="0079406D">
        <w:rPr>
          <w:rFonts w:eastAsia="Calibri" w:cstheme="minorHAnsi"/>
          <w:color w:val="000000" w:themeColor="text1"/>
          <w:sz w:val="24"/>
          <w:szCs w:val="24"/>
          <w:lang w:val="en-US" w:eastAsia="en-US"/>
        </w:rPr>
        <w:t xml:space="preserve"> and CST link to IBD activity. </w:t>
      </w:r>
    </w:p>
    <w:p w14:paraId="169BD993" w14:textId="0001FF57" w:rsidR="0079406D" w:rsidRPr="0079406D" w:rsidRDefault="0079406D" w:rsidP="0079406D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val="en-GB" w:eastAsia="en-GB"/>
        </w:rPr>
      </w:pPr>
      <w:r w:rsidRPr="0079406D">
        <w:rPr>
          <w:rFonts w:eastAsia="Calibri" w:cstheme="minorHAnsi"/>
          <w:b/>
          <w:bCs/>
          <w:color w:val="000000" w:themeColor="text1"/>
          <w:sz w:val="24"/>
          <w:szCs w:val="24"/>
          <w:lang w:val="en-US" w:eastAsia="en-US"/>
        </w:rPr>
        <w:t>Conclusion</w:t>
      </w:r>
      <w:r>
        <w:rPr>
          <w:rFonts w:eastAsia="Calibri" w:cstheme="minorHAnsi"/>
          <w:b/>
          <w:bCs/>
          <w:color w:val="000000" w:themeColor="text1"/>
          <w:sz w:val="24"/>
          <w:szCs w:val="24"/>
          <w:lang w:val="en-US" w:eastAsia="en-US"/>
        </w:rPr>
        <w:t>s</w:t>
      </w:r>
      <w:r w:rsidRPr="0079406D">
        <w:rPr>
          <w:rFonts w:eastAsia="Calibri" w:cstheme="minorHAnsi"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Pr="0079406D">
        <w:rPr>
          <w:rFonts w:eastAsia="Calibri" w:cstheme="minorHAnsi"/>
          <w:color w:val="000000" w:themeColor="text1"/>
          <w:sz w:val="24"/>
          <w:szCs w:val="24"/>
          <w:lang w:val="en-US" w:eastAsia="en-US"/>
        </w:rPr>
        <w:t>CgA</w:t>
      </w:r>
      <w:proofErr w:type="spellEnd"/>
      <w:r w:rsidRPr="0079406D">
        <w:rPr>
          <w:rFonts w:eastAsia="Calibri" w:cstheme="minorHAnsi"/>
          <w:color w:val="000000" w:themeColor="text1"/>
          <w:sz w:val="24"/>
          <w:szCs w:val="24"/>
          <w:lang w:val="en-US" w:eastAsia="en-US"/>
        </w:rPr>
        <w:t xml:space="preserve"> and its counteracting cleavage product CST are key modulators of intestinal health and disease.</w:t>
      </w:r>
      <w:r>
        <w:rPr>
          <w:rFonts w:eastAsia="Calibri" w:cstheme="minorHAnsi"/>
          <w:color w:val="000000" w:themeColor="text1"/>
          <w:sz w:val="24"/>
          <w:szCs w:val="24"/>
          <w:lang w:val="en-US" w:eastAsia="en-US"/>
        </w:rPr>
        <w:t xml:space="preserve"> Thereby, </w:t>
      </w:r>
      <w:proofErr w:type="spellStart"/>
      <w:r w:rsidRPr="0079406D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val="en-US" w:eastAsia="en-GB"/>
        </w:rPr>
        <w:t>CgA</w:t>
      </w:r>
      <w:proofErr w:type="spellEnd"/>
      <w:r w:rsidRPr="0079406D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val="en-US" w:eastAsia="en-GB"/>
        </w:rPr>
        <w:t xml:space="preserve"> and CST levels not only seem relevant markers for disease severity of IBD, but might also be targets for therapeutic interventions.</w:t>
      </w:r>
    </w:p>
    <w:p w14:paraId="3E49E2D9" w14:textId="77777777" w:rsidR="0079406D" w:rsidRPr="0079406D" w:rsidRDefault="0079406D">
      <w:pPr>
        <w:rPr>
          <w:color w:val="000000" w:themeColor="text1"/>
          <w:lang w:val="en-GB"/>
        </w:rPr>
      </w:pPr>
    </w:p>
    <w:sectPr w:rsidR="0079406D" w:rsidRPr="007940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06D"/>
    <w:rsid w:val="00515691"/>
    <w:rsid w:val="0079406D"/>
    <w:rsid w:val="00DB4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C1615"/>
  <w15:chartTrackingRefBased/>
  <w15:docId w15:val="{9A59CAFA-BDF1-4003-8D85-785AA4BB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406D"/>
    <w:rPr>
      <w:rFonts w:eastAsiaTheme="minorEastAsia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895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60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6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1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Elke Muntjewerff</dc:creator>
  <cp:keywords/>
  <dc:description/>
  <cp:lastModifiedBy>Microsoft account</cp:lastModifiedBy>
  <cp:revision>2</cp:revision>
  <dcterms:created xsi:type="dcterms:W3CDTF">2021-01-22T08:57:00Z</dcterms:created>
  <dcterms:modified xsi:type="dcterms:W3CDTF">2021-01-22T08:57:00Z</dcterms:modified>
</cp:coreProperties>
</file>