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38C10" w14:textId="77777777" w:rsidR="00E56141" w:rsidRPr="00CD59C1" w:rsidRDefault="00E56141" w:rsidP="00E56141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</w:rPr>
      </w:pPr>
      <w:r w:rsidRPr="00CD59C1">
        <w:rPr>
          <w:rFonts w:ascii="Arial" w:hAnsi="Arial" w:cs="Arial"/>
          <w:b/>
          <w:color w:val="000000" w:themeColor="text1"/>
          <w:sz w:val="22"/>
        </w:rPr>
        <w:t>Multiplexed proteomics of autophagy deficient macrophages reveals enhanced anti-microbial immunity via the oxidative stress response</w:t>
      </w:r>
    </w:p>
    <w:p w14:paraId="26E11B5B" w14:textId="77777777" w:rsidR="00E56141" w:rsidRPr="00CD59C1" w:rsidRDefault="00E56141" w:rsidP="00E5614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</w:p>
    <w:p w14:paraId="24E327DC" w14:textId="77777777" w:rsidR="00E56141" w:rsidRPr="00CD59C1" w:rsidRDefault="00E56141" w:rsidP="00E56141">
      <w:pPr>
        <w:spacing w:line="360" w:lineRule="auto"/>
        <w:rPr>
          <w:rFonts w:ascii="Arial" w:hAnsi="Arial" w:cs="Arial"/>
          <w:sz w:val="22"/>
        </w:rPr>
      </w:pPr>
      <w:proofErr w:type="spellStart"/>
      <w:r w:rsidRPr="005A231B">
        <w:rPr>
          <w:rFonts w:ascii="Arial" w:hAnsi="Arial" w:cs="Arial"/>
          <w:color w:val="000000" w:themeColor="text1"/>
          <w:sz w:val="22"/>
          <w:u w:val="single"/>
        </w:rPr>
        <w:t>Timurs</w:t>
      </w:r>
      <w:proofErr w:type="spellEnd"/>
      <w:r w:rsidRPr="005A231B">
        <w:rPr>
          <w:rFonts w:ascii="Arial" w:hAnsi="Arial" w:cs="Arial"/>
          <w:color w:val="000000" w:themeColor="text1"/>
          <w:sz w:val="22"/>
          <w:u w:val="single"/>
        </w:rPr>
        <w:t xml:space="preserve"> Maculins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1,6</w:t>
      </w:r>
      <w:r w:rsidRPr="00CD59C1">
        <w:rPr>
          <w:rFonts w:ascii="Arial" w:hAnsi="Arial" w:cs="Arial"/>
          <w:color w:val="000000" w:themeColor="text1"/>
          <w:sz w:val="22"/>
        </w:rPr>
        <w:t xml:space="preserve">, </w:t>
      </w:r>
      <w:r w:rsidRPr="00CD59C1">
        <w:rPr>
          <w:rFonts w:ascii="Arial" w:eastAsiaTheme="minorEastAsia" w:hAnsi="Arial" w:cs="Arial"/>
          <w:color w:val="000000" w:themeColor="text1"/>
          <w:sz w:val="22"/>
        </w:rPr>
        <w:t>Erik Verschueren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2</w:t>
      </w:r>
      <w:r w:rsidRPr="00CD59C1">
        <w:rPr>
          <w:rFonts w:ascii="Arial" w:hAnsi="Arial" w:cs="Arial"/>
          <w:color w:val="000000" w:themeColor="text1"/>
          <w:sz w:val="22"/>
        </w:rPr>
        <w:t xml:space="preserve">, </w:t>
      </w:r>
      <w:r w:rsidRPr="00CD59C1">
        <w:rPr>
          <w:rFonts w:ascii="Arial" w:eastAsiaTheme="minorEastAsia" w:hAnsi="Arial" w:cs="Arial"/>
          <w:color w:val="000000" w:themeColor="text1"/>
          <w:sz w:val="22"/>
        </w:rPr>
        <w:t xml:space="preserve">Trent </w:t>
      </w:r>
      <w:r w:rsidRPr="00CD59C1">
        <w:rPr>
          <w:rFonts w:ascii="Arial" w:eastAsia="Helvetica Neue" w:hAnsi="Arial" w:cs="Arial"/>
          <w:color w:val="000000" w:themeColor="text1"/>
          <w:sz w:val="22"/>
        </w:rPr>
        <w:t>Hinkle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2</w:t>
      </w:r>
      <w:r w:rsidRPr="00CD59C1">
        <w:rPr>
          <w:rFonts w:ascii="Arial" w:hAnsi="Arial" w:cs="Arial"/>
          <w:color w:val="000000" w:themeColor="text1"/>
          <w:sz w:val="22"/>
        </w:rPr>
        <w:t>, Patrick Chang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3</w:t>
      </w:r>
      <w:r w:rsidRPr="00CD59C1">
        <w:rPr>
          <w:rFonts w:ascii="Arial" w:hAnsi="Arial" w:cs="Arial"/>
          <w:color w:val="000000" w:themeColor="text1"/>
          <w:sz w:val="22"/>
        </w:rPr>
        <w:t>, Cecile Chalouni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3</w:t>
      </w:r>
      <w:r w:rsidRPr="00CD59C1">
        <w:rPr>
          <w:rFonts w:ascii="Arial" w:hAnsi="Arial" w:cs="Arial"/>
          <w:color w:val="000000" w:themeColor="text1"/>
          <w:sz w:val="22"/>
        </w:rPr>
        <w:t xml:space="preserve">, </w:t>
      </w:r>
      <w:proofErr w:type="spellStart"/>
      <w:r w:rsidRPr="00CD59C1">
        <w:rPr>
          <w:rFonts w:ascii="Arial" w:hAnsi="Arial" w:cs="Arial"/>
          <w:sz w:val="22"/>
        </w:rPr>
        <w:t>Junghyun</w:t>
      </w:r>
      <w:proofErr w:type="spellEnd"/>
      <w:r w:rsidRPr="00CD59C1">
        <w:rPr>
          <w:rFonts w:ascii="Arial" w:hAnsi="Arial" w:cs="Arial"/>
          <w:sz w:val="22"/>
        </w:rPr>
        <w:t xml:space="preserve"> Lim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1</w:t>
      </w:r>
      <w:r w:rsidRPr="00CD59C1">
        <w:rPr>
          <w:rFonts w:ascii="Arial" w:hAnsi="Arial" w:cs="Arial"/>
          <w:color w:val="000000" w:themeColor="text1"/>
          <w:sz w:val="22"/>
        </w:rPr>
        <w:t xml:space="preserve">, </w:t>
      </w:r>
      <w:r w:rsidRPr="00CD59C1">
        <w:rPr>
          <w:rFonts w:ascii="Arial" w:hAnsi="Arial" w:cs="Arial"/>
          <w:bCs/>
          <w:color w:val="202124"/>
          <w:spacing w:val="3"/>
          <w:sz w:val="22"/>
          <w:shd w:val="clear" w:color="auto" w:fill="FFFFFF"/>
        </w:rPr>
        <w:t>Anand Kumar Katakam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3</w:t>
      </w:r>
      <w:r w:rsidRPr="00CD59C1">
        <w:rPr>
          <w:rFonts w:ascii="Arial" w:hAnsi="Arial" w:cs="Arial"/>
          <w:color w:val="000000" w:themeColor="text1"/>
          <w:sz w:val="22"/>
        </w:rPr>
        <w:t>, Ryan C. Kunz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7</w:t>
      </w:r>
      <w:r w:rsidRPr="00CD59C1">
        <w:rPr>
          <w:rFonts w:ascii="Arial" w:hAnsi="Arial" w:cs="Arial"/>
          <w:color w:val="000000" w:themeColor="text1"/>
          <w:sz w:val="22"/>
        </w:rPr>
        <w:t>, Brian K. Erickson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7</w:t>
      </w:r>
      <w:r w:rsidRPr="00CD59C1">
        <w:rPr>
          <w:rFonts w:ascii="Arial" w:hAnsi="Arial" w:cs="Arial"/>
          <w:color w:val="000000" w:themeColor="text1"/>
          <w:sz w:val="22"/>
        </w:rPr>
        <w:t>, Ting Huang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8</w:t>
      </w:r>
      <w:r w:rsidRPr="00CD59C1">
        <w:rPr>
          <w:rFonts w:ascii="Arial" w:hAnsi="Arial" w:cs="Arial"/>
          <w:color w:val="000000" w:themeColor="text1"/>
          <w:sz w:val="22"/>
        </w:rPr>
        <w:t>, Meena Choi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8</w:t>
      </w:r>
      <w:r w:rsidRPr="00CD59C1">
        <w:rPr>
          <w:rFonts w:ascii="Arial" w:hAnsi="Arial" w:cs="Arial"/>
          <w:color w:val="000000" w:themeColor="text1"/>
          <w:sz w:val="22"/>
        </w:rPr>
        <w:t>, Tsung-Heng Tsai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8,9</w:t>
      </w:r>
      <w:r w:rsidRPr="00CD59C1">
        <w:rPr>
          <w:rFonts w:ascii="Arial" w:hAnsi="Arial" w:cs="Arial"/>
          <w:color w:val="000000" w:themeColor="text1"/>
          <w:sz w:val="22"/>
        </w:rPr>
        <w:t>, Olga Vitek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8</w:t>
      </w:r>
      <w:r w:rsidRPr="00CD59C1">
        <w:rPr>
          <w:rFonts w:ascii="Arial" w:hAnsi="Arial" w:cs="Arial"/>
          <w:color w:val="000000" w:themeColor="text1"/>
          <w:sz w:val="22"/>
        </w:rPr>
        <w:t xml:space="preserve">, </w:t>
      </w:r>
      <w:r w:rsidRPr="00CD59C1">
        <w:rPr>
          <w:rFonts w:ascii="Arial" w:hAnsi="Arial" w:cs="Arial"/>
          <w:color w:val="222222"/>
          <w:sz w:val="22"/>
          <w:shd w:val="clear" w:color="auto" w:fill="FFFFFF"/>
        </w:rPr>
        <w:t>Mike Reichelt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3</w:t>
      </w:r>
      <w:r w:rsidRPr="00CD59C1">
        <w:rPr>
          <w:rFonts w:ascii="Arial" w:hAnsi="Arial" w:cs="Arial"/>
          <w:color w:val="000000" w:themeColor="text1"/>
          <w:sz w:val="22"/>
        </w:rPr>
        <w:t>, John Rohde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4</w:t>
      </w:r>
      <w:r w:rsidRPr="00CD59C1">
        <w:rPr>
          <w:rFonts w:ascii="Arial" w:hAnsi="Arial" w:cs="Arial"/>
          <w:color w:val="000000" w:themeColor="text1"/>
          <w:sz w:val="22"/>
        </w:rPr>
        <w:t>, Ivan Dikic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5,6</w:t>
      </w:r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>*</w:t>
      </w:r>
      <w:r w:rsidRPr="00CD59C1">
        <w:rPr>
          <w:rFonts w:ascii="Arial" w:hAnsi="Arial" w:cs="Arial"/>
          <w:color w:val="000000" w:themeColor="text1"/>
          <w:sz w:val="22"/>
        </w:rPr>
        <w:t>, Donald S. Kirkpatrick</w:t>
      </w: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2</w:t>
      </w:r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>*</w:t>
      </w:r>
      <w:r w:rsidRPr="00CD59C1">
        <w:rPr>
          <w:rFonts w:ascii="Arial" w:hAnsi="Arial" w:cs="Arial"/>
          <w:color w:val="000000" w:themeColor="text1"/>
          <w:sz w:val="22"/>
        </w:rPr>
        <w:t xml:space="preserve">, </w:t>
      </w:r>
      <w:r w:rsidRPr="005A231B">
        <w:rPr>
          <w:rFonts w:ascii="Arial" w:hAnsi="Arial" w:cs="Arial"/>
          <w:color w:val="000000" w:themeColor="text1"/>
          <w:sz w:val="22"/>
        </w:rPr>
        <w:t>Aditya Murthy</w:t>
      </w:r>
      <w:r w:rsidRPr="005A231B">
        <w:rPr>
          <w:rFonts w:ascii="Arial" w:hAnsi="Arial" w:cs="Arial"/>
          <w:color w:val="000000" w:themeColor="text1"/>
          <w:sz w:val="22"/>
          <w:vertAlign w:val="superscript"/>
        </w:rPr>
        <w:t>1</w:t>
      </w:r>
      <w:r w:rsidRPr="005A231B">
        <w:rPr>
          <w:rFonts w:ascii="Arial" w:hAnsi="Arial" w:cs="Arial"/>
          <w:color w:val="000000" w:themeColor="text1"/>
          <w:sz w:val="22"/>
          <w:shd w:val="clear" w:color="auto" w:fill="FFFFFF"/>
        </w:rPr>
        <w:t>*</w:t>
      </w:r>
      <w:r w:rsidRPr="005A231B">
        <w:rPr>
          <w:rFonts w:ascii="Arial" w:hAnsi="Arial" w:cs="Arial"/>
          <w:color w:val="000000" w:themeColor="text1"/>
          <w:sz w:val="22"/>
        </w:rPr>
        <w:t>.</w:t>
      </w:r>
      <w:r w:rsidRPr="00CD59C1">
        <w:rPr>
          <w:rFonts w:ascii="Arial" w:hAnsi="Arial" w:cs="Arial"/>
          <w:color w:val="000000" w:themeColor="text1"/>
          <w:sz w:val="22"/>
        </w:rPr>
        <w:t xml:space="preserve"> </w:t>
      </w:r>
    </w:p>
    <w:p w14:paraId="397CE66F" w14:textId="77777777" w:rsidR="00E56141" w:rsidRPr="00CD59C1" w:rsidRDefault="00E56141" w:rsidP="00E56141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</w:rPr>
      </w:pPr>
    </w:p>
    <w:p w14:paraId="6DCE3F5D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1</w:t>
      </w:r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>Department of Cancer Immunology, Genentech, South San Francisco, CA, USA.</w:t>
      </w:r>
    </w:p>
    <w:p w14:paraId="1C61BE62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2</w:t>
      </w:r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 xml:space="preserve">Department of Microchemistry, Proteomics and </w:t>
      </w:r>
      <w:proofErr w:type="spellStart"/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>Lipidomics</w:t>
      </w:r>
      <w:proofErr w:type="spellEnd"/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>, Genentech, South San Francisco, CA, USA</w:t>
      </w:r>
      <w:r w:rsidRPr="00CD59C1">
        <w:rPr>
          <w:rFonts w:ascii="Arial" w:hAnsi="Arial" w:cs="Arial"/>
          <w:color w:val="000000" w:themeColor="text1"/>
          <w:sz w:val="22"/>
        </w:rPr>
        <w:t>.</w:t>
      </w:r>
    </w:p>
    <w:p w14:paraId="6CD18925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3</w:t>
      </w:r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>Department of Pathology, Genentech, South San Francisco, CA, USA.</w:t>
      </w:r>
    </w:p>
    <w:p w14:paraId="3D873E96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4</w:t>
      </w:r>
      <w:r w:rsidRPr="00CD59C1">
        <w:rPr>
          <w:rFonts w:ascii="Arial" w:hAnsi="Arial" w:cs="Arial"/>
          <w:color w:val="000000" w:themeColor="text1"/>
          <w:sz w:val="22"/>
        </w:rPr>
        <w:t>Department of Microbiology and Immunology, Dalhousie University, Canada</w:t>
      </w:r>
    </w:p>
    <w:p w14:paraId="0878DAEF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shd w:val="clear" w:color="auto" w:fill="FFFFFF"/>
          <w:vertAlign w:val="superscript"/>
        </w:rPr>
        <w:t>5</w:t>
      </w:r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>Department of Infectious Diseases, Genentech, South San Francisco, CA, USA</w:t>
      </w:r>
      <w:r w:rsidRPr="00CD59C1">
        <w:rPr>
          <w:rFonts w:ascii="Arial" w:hAnsi="Arial" w:cs="Arial"/>
          <w:color w:val="000000" w:themeColor="text1"/>
          <w:sz w:val="22"/>
        </w:rPr>
        <w:t>.</w:t>
      </w:r>
    </w:p>
    <w:p w14:paraId="1F73BF85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6</w:t>
      </w:r>
      <w:r w:rsidRPr="00CD59C1">
        <w:rPr>
          <w:rFonts w:ascii="Arial" w:hAnsi="Arial" w:cs="Arial"/>
          <w:color w:val="000000" w:themeColor="text1"/>
          <w:sz w:val="22"/>
        </w:rPr>
        <w:t>Institute of Biochemistry II, Goethe University, Frankfurt am Main, Germany.</w:t>
      </w:r>
    </w:p>
    <w:p w14:paraId="368709BD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7</w:t>
      </w:r>
      <w:r w:rsidRPr="00CD59C1">
        <w:rPr>
          <w:rFonts w:ascii="Arial" w:hAnsi="Arial" w:cs="Arial"/>
          <w:color w:val="000000" w:themeColor="text1"/>
          <w:sz w:val="22"/>
        </w:rPr>
        <w:t>IQ Proteomics LLC, Cambridge, MA, USA</w:t>
      </w:r>
    </w:p>
    <w:p w14:paraId="758D68E1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8</w:t>
      </w:r>
      <w:r w:rsidRPr="00CD59C1">
        <w:rPr>
          <w:rFonts w:ascii="Arial" w:hAnsi="Arial" w:cs="Arial"/>
          <w:color w:val="000000" w:themeColor="text1"/>
          <w:sz w:val="22"/>
        </w:rPr>
        <w:t>Khoury College of Computer Sciences, Northeastern University, Boston, MA, USA</w:t>
      </w:r>
    </w:p>
    <w:p w14:paraId="4CFD7C0B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vertAlign w:val="superscript"/>
        </w:rPr>
        <w:t>9</w:t>
      </w:r>
      <w:r w:rsidRPr="00CD59C1">
        <w:rPr>
          <w:rFonts w:ascii="Arial" w:hAnsi="Arial" w:cs="Arial"/>
          <w:color w:val="000000" w:themeColor="text1"/>
          <w:sz w:val="22"/>
        </w:rPr>
        <w:t>Department of Mathematical Sciences, Kent State University, Kent, OH, USA</w:t>
      </w:r>
    </w:p>
    <w:p w14:paraId="33D74BA7" w14:textId="77777777" w:rsidR="00CD59C1" w:rsidRPr="00CD59C1" w:rsidRDefault="00CD59C1" w:rsidP="00CD59C1">
      <w:pPr>
        <w:spacing w:line="360" w:lineRule="auto"/>
        <w:jc w:val="both"/>
        <w:rPr>
          <w:rFonts w:ascii="Arial" w:hAnsi="Arial" w:cs="Arial"/>
          <w:color w:val="000000" w:themeColor="text1"/>
          <w:sz w:val="22"/>
        </w:rPr>
      </w:pPr>
      <w:r w:rsidRPr="00CD59C1">
        <w:rPr>
          <w:rFonts w:ascii="Arial" w:hAnsi="Arial" w:cs="Arial"/>
          <w:color w:val="000000" w:themeColor="text1"/>
          <w:sz w:val="22"/>
          <w:shd w:val="clear" w:color="auto" w:fill="FFFFFF"/>
        </w:rPr>
        <w:t>*</w:t>
      </w:r>
      <w:r w:rsidRPr="00CD59C1">
        <w:rPr>
          <w:rFonts w:ascii="Arial" w:hAnsi="Arial" w:cs="Arial"/>
          <w:color w:val="000000" w:themeColor="text1"/>
          <w:sz w:val="22"/>
        </w:rPr>
        <w:t>These authors jointly supervised this work.</w:t>
      </w:r>
    </w:p>
    <w:p w14:paraId="46A9A35A" w14:textId="77777777" w:rsidR="00CD59C1" w:rsidRPr="00CD59C1" w:rsidRDefault="00CD59C1" w:rsidP="00E56141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</w:rPr>
      </w:pPr>
    </w:p>
    <w:p w14:paraId="32F7E304" w14:textId="33044A78" w:rsidR="00E56141" w:rsidRPr="00CD59C1" w:rsidRDefault="00E56141" w:rsidP="00E56141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</w:rPr>
      </w:pPr>
      <w:r w:rsidRPr="00CD59C1">
        <w:rPr>
          <w:rFonts w:ascii="Arial" w:hAnsi="Arial" w:cs="Arial"/>
          <w:b/>
          <w:color w:val="000000" w:themeColor="text1"/>
          <w:sz w:val="22"/>
        </w:rPr>
        <w:t>ABSTRACT</w:t>
      </w:r>
    </w:p>
    <w:p w14:paraId="40384EEF" w14:textId="3EF8D223" w:rsidR="00CD59C1" w:rsidRPr="00CD59C1" w:rsidRDefault="00E56141" w:rsidP="00CD59C1">
      <w:pPr>
        <w:spacing w:line="360" w:lineRule="auto"/>
        <w:ind w:firstLine="720"/>
        <w:jc w:val="both"/>
        <w:rPr>
          <w:rFonts w:ascii="Arial" w:hAnsi="Arial" w:cs="Arial"/>
          <w:b/>
          <w:color w:val="000000" w:themeColor="text1"/>
          <w:sz w:val="22"/>
        </w:rPr>
      </w:pPr>
      <w:r w:rsidRPr="00CD59C1">
        <w:rPr>
          <w:rFonts w:ascii="Arial" w:hAnsi="Arial" w:cs="Arial"/>
          <w:color w:val="222222"/>
          <w:sz w:val="22"/>
          <w:shd w:val="clear" w:color="auto" w:fill="FFFFFF"/>
        </w:rPr>
        <w:t>Macrophages play a critical role in clearance of cytosolic pathogens. Autophagy functions at the intersection of antimicrobial innate immunity</w:t>
      </w:r>
      <w:r w:rsidR="005A231B">
        <w:rPr>
          <w:rFonts w:ascii="Arial" w:hAnsi="Arial" w:cs="Arial"/>
          <w:color w:val="222222"/>
          <w:sz w:val="22"/>
          <w:shd w:val="clear" w:color="auto" w:fill="FFFFFF"/>
        </w:rPr>
        <w:t>, metabolism</w:t>
      </w:r>
      <w:r w:rsidRPr="00CD59C1">
        <w:rPr>
          <w:rFonts w:ascii="Arial" w:hAnsi="Arial" w:cs="Arial"/>
          <w:color w:val="222222"/>
          <w:sz w:val="22"/>
          <w:shd w:val="clear" w:color="auto" w:fill="FFFFFF"/>
        </w:rPr>
        <w:t xml:space="preserve"> and protein quality control; however, the impacts of infection and autophagy on shaping the macrophage proteome are poorly understood. Here, we describe a deep multi-dimensional proteomic analysis of primary murine macrophages infected with </w:t>
      </w:r>
      <w:r w:rsidRPr="00CD59C1">
        <w:rPr>
          <w:rFonts w:ascii="Arial" w:hAnsi="Arial" w:cs="Arial"/>
          <w:i/>
          <w:color w:val="222222"/>
          <w:sz w:val="22"/>
          <w:shd w:val="clear" w:color="auto" w:fill="FFFFFF"/>
        </w:rPr>
        <w:t>Shigella flexneri</w:t>
      </w:r>
      <w:r w:rsidRPr="00CD59C1">
        <w:rPr>
          <w:rFonts w:ascii="Arial" w:hAnsi="Arial" w:cs="Arial"/>
          <w:color w:val="222222"/>
          <w:sz w:val="22"/>
          <w:shd w:val="clear" w:color="auto" w:fill="FFFFFF"/>
        </w:rPr>
        <w:t xml:space="preserve"> (</w:t>
      </w:r>
      <w:proofErr w:type="gramStart"/>
      <w:r w:rsidRPr="00CD59C1">
        <w:rPr>
          <w:rFonts w:ascii="Arial" w:hAnsi="Arial" w:cs="Arial"/>
          <w:i/>
          <w:color w:val="222222"/>
          <w:sz w:val="22"/>
          <w:shd w:val="clear" w:color="auto" w:fill="FFFFFF"/>
        </w:rPr>
        <w:t>S.flexneri</w:t>
      </w:r>
      <w:proofErr w:type="gramEnd"/>
      <w:r w:rsidRPr="00CD59C1">
        <w:rPr>
          <w:rFonts w:ascii="Arial" w:hAnsi="Arial" w:cs="Arial"/>
          <w:color w:val="222222"/>
          <w:sz w:val="22"/>
          <w:shd w:val="clear" w:color="auto" w:fill="FFFFFF"/>
        </w:rPr>
        <w:t xml:space="preserve">). Tandem mass tagging (TMT) revealed dynamic genotype- and infection-dependent differences in host and pathogen proteins, phosphorylation and ubiquitination. These data catalogue the complex circuitry connecting autophagy, inflammatory signaling and the oxidative stress response. Loss of the autophagy gene </w:t>
      </w:r>
      <w:r w:rsidRPr="00CD59C1">
        <w:rPr>
          <w:rFonts w:ascii="Arial" w:hAnsi="Arial" w:cs="Arial"/>
          <w:i/>
          <w:color w:val="222222"/>
          <w:sz w:val="22"/>
          <w:shd w:val="clear" w:color="auto" w:fill="FFFFFF"/>
        </w:rPr>
        <w:t>Atg16l1</w:t>
      </w:r>
      <w:r w:rsidRPr="00CD59C1">
        <w:rPr>
          <w:rFonts w:ascii="Arial" w:hAnsi="Arial" w:cs="Arial"/>
          <w:color w:val="222222"/>
          <w:sz w:val="22"/>
          <w:shd w:val="clear" w:color="auto" w:fill="FFFFFF"/>
        </w:rPr>
        <w:t xml:space="preserve"> induced basal oxidative stress, activated the compensatory glutathione biosynthetic machinery, and </w:t>
      </w:r>
      <w:r w:rsidR="00B16AD9">
        <w:rPr>
          <w:rFonts w:ascii="Arial" w:hAnsi="Arial" w:cs="Arial"/>
          <w:color w:val="222222"/>
          <w:sz w:val="22"/>
          <w:shd w:val="clear" w:color="auto" w:fill="FFFFFF"/>
        </w:rPr>
        <w:t xml:space="preserve">surprisingly, </w:t>
      </w:r>
      <w:r w:rsidRPr="00CD59C1">
        <w:rPr>
          <w:rFonts w:ascii="Arial" w:hAnsi="Arial" w:cs="Arial"/>
          <w:color w:val="222222"/>
          <w:sz w:val="22"/>
          <w:shd w:val="clear" w:color="auto" w:fill="FFFFFF"/>
        </w:rPr>
        <w:t xml:space="preserve">enhanced clearance of </w:t>
      </w:r>
      <w:proofErr w:type="gramStart"/>
      <w:r w:rsidRPr="00CD59C1">
        <w:rPr>
          <w:rFonts w:ascii="Arial" w:hAnsi="Arial" w:cs="Arial"/>
          <w:i/>
          <w:color w:val="222222"/>
          <w:sz w:val="22"/>
          <w:shd w:val="clear" w:color="auto" w:fill="FFFFFF"/>
        </w:rPr>
        <w:t>S.flexneri</w:t>
      </w:r>
      <w:proofErr w:type="gramEnd"/>
      <w:r w:rsidRPr="00CD59C1">
        <w:rPr>
          <w:rFonts w:ascii="Arial" w:hAnsi="Arial" w:cs="Arial"/>
          <w:color w:val="222222"/>
          <w:sz w:val="22"/>
          <w:shd w:val="clear" w:color="auto" w:fill="FFFFFF"/>
        </w:rPr>
        <w:t>. Pathogen clearance was similarly enhanced in wild type macrophages upon pharmacological inhibition of cysteine import</w:t>
      </w:r>
      <w:bookmarkStart w:id="0" w:name="_GoBack"/>
      <w:bookmarkEnd w:id="0"/>
      <w:r w:rsidRPr="00CD59C1">
        <w:rPr>
          <w:rFonts w:ascii="Arial" w:hAnsi="Arial" w:cs="Arial"/>
          <w:color w:val="222222"/>
          <w:sz w:val="22"/>
          <w:shd w:val="clear" w:color="auto" w:fill="FFFFFF"/>
        </w:rPr>
        <w:t xml:space="preserve">. Our study provides a resource for innate immunity research and </w:t>
      </w:r>
      <w:r w:rsidR="00B16AD9">
        <w:rPr>
          <w:rFonts w:ascii="Arial" w:hAnsi="Arial" w:cs="Arial"/>
          <w:color w:val="222222"/>
          <w:sz w:val="22"/>
          <w:shd w:val="clear" w:color="auto" w:fill="FFFFFF"/>
        </w:rPr>
        <w:t xml:space="preserve">unexpectedly </w:t>
      </w:r>
      <w:r w:rsidRPr="00CD59C1">
        <w:rPr>
          <w:rFonts w:ascii="Arial" w:hAnsi="Arial" w:cs="Arial"/>
          <w:color w:val="222222"/>
          <w:sz w:val="22"/>
          <w:shd w:val="clear" w:color="auto" w:fill="FFFFFF"/>
        </w:rPr>
        <w:t>reveals that ATG16L1 dampens antimicrobial immunity by regulating oxidative stress.</w:t>
      </w:r>
    </w:p>
    <w:sectPr w:rsidR="00CD59C1" w:rsidRPr="00CD59C1" w:rsidSect="00D70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41"/>
    <w:rsid w:val="00004153"/>
    <w:rsid w:val="00005020"/>
    <w:rsid w:val="00024137"/>
    <w:rsid w:val="0003450B"/>
    <w:rsid w:val="0004141F"/>
    <w:rsid w:val="00050B45"/>
    <w:rsid w:val="00052538"/>
    <w:rsid w:val="00052DBE"/>
    <w:rsid w:val="00077698"/>
    <w:rsid w:val="00082CBD"/>
    <w:rsid w:val="0009275F"/>
    <w:rsid w:val="000A29F7"/>
    <w:rsid w:val="000A3902"/>
    <w:rsid w:val="000B274F"/>
    <w:rsid w:val="000B2ADB"/>
    <w:rsid w:val="000B66A1"/>
    <w:rsid w:val="000C2EF8"/>
    <w:rsid w:val="000C3556"/>
    <w:rsid w:val="000C3ACC"/>
    <w:rsid w:val="000C3CE0"/>
    <w:rsid w:val="000D717B"/>
    <w:rsid w:val="000E19E5"/>
    <w:rsid w:val="000E288B"/>
    <w:rsid w:val="000E7FE2"/>
    <w:rsid w:val="0011002C"/>
    <w:rsid w:val="001109A6"/>
    <w:rsid w:val="00127C5C"/>
    <w:rsid w:val="001352A8"/>
    <w:rsid w:val="0015162F"/>
    <w:rsid w:val="00152A5F"/>
    <w:rsid w:val="0016185F"/>
    <w:rsid w:val="00170C57"/>
    <w:rsid w:val="00180FC7"/>
    <w:rsid w:val="00181EA5"/>
    <w:rsid w:val="001935A1"/>
    <w:rsid w:val="001B477A"/>
    <w:rsid w:val="001C3CCE"/>
    <w:rsid w:val="001E07F2"/>
    <w:rsid w:val="001E161F"/>
    <w:rsid w:val="001E17CA"/>
    <w:rsid w:val="00214F51"/>
    <w:rsid w:val="00215701"/>
    <w:rsid w:val="00226FCD"/>
    <w:rsid w:val="00231F74"/>
    <w:rsid w:val="0023200D"/>
    <w:rsid w:val="002354B6"/>
    <w:rsid w:val="00245E76"/>
    <w:rsid w:val="00254693"/>
    <w:rsid w:val="00261758"/>
    <w:rsid w:val="00274144"/>
    <w:rsid w:val="00275208"/>
    <w:rsid w:val="00277912"/>
    <w:rsid w:val="00282A03"/>
    <w:rsid w:val="00294EB3"/>
    <w:rsid w:val="00297FA8"/>
    <w:rsid w:val="002A4AF8"/>
    <w:rsid w:val="002B7737"/>
    <w:rsid w:val="002B7E8F"/>
    <w:rsid w:val="002D593D"/>
    <w:rsid w:val="002F36C3"/>
    <w:rsid w:val="002F6B3E"/>
    <w:rsid w:val="003026FF"/>
    <w:rsid w:val="00305DA7"/>
    <w:rsid w:val="0032010E"/>
    <w:rsid w:val="003344BB"/>
    <w:rsid w:val="00347C63"/>
    <w:rsid w:val="003922F3"/>
    <w:rsid w:val="003A3085"/>
    <w:rsid w:val="003D293B"/>
    <w:rsid w:val="003D7A06"/>
    <w:rsid w:val="003E6510"/>
    <w:rsid w:val="003E79DF"/>
    <w:rsid w:val="003F6302"/>
    <w:rsid w:val="003F7D9E"/>
    <w:rsid w:val="004158AF"/>
    <w:rsid w:val="004262D8"/>
    <w:rsid w:val="004351A2"/>
    <w:rsid w:val="00445891"/>
    <w:rsid w:val="00460795"/>
    <w:rsid w:val="00465AB8"/>
    <w:rsid w:val="00474615"/>
    <w:rsid w:val="00493D6A"/>
    <w:rsid w:val="00496AB3"/>
    <w:rsid w:val="00496EFE"/>
    <w:rsid w:val="004A086A"/>
    <w:rsid w:val="004A7109"/>
    <w:rsid w:val="004C7F2A"/>
    <w:rsid w:val="004D1EC3"/>
    <w:rsid w:val="004D2F6B"/>
    <w:rsid w:val="004E4152"/>
    <w:rsid w:val="004F4876"/>
    <w:rsid w:val="004F7CD5"/>
    <w:rsid w:val="00512250"/>
    <w:rsid w:val="00512259"/>
    <w:rsid w:val="0051432F"/>
    <w:rsid w:val="00517D6E"/>
    <w:rsid w:val="0052536C"/>
    <w:rsid w:val="0052624D"/>
    <w:rsid w:val="00541262"/>
    <w:rsid w:val="00541F2C"/>
    <w:rsid w:val="00544964"/>
    <w:rsid w:val="005537B7"/>
    <w:rsid w:val="00566FD7"/>
    <w:rsid w:val="0057097A"/>
    <w:rsid w:val="00574429"/>
    <w:rsid w:val="00577AA6"/>
    <w:rsid w:val="00590FC3"/>
    <w:rsid w:val="00593129"/>
    <w:rsid w:val="00596730"/>
    <w:rsid w:val="005A231B"/>
    <w:rsid w:val="005A6CB7"/>
    <w:rsid w:val="005C199B"/>
    <w:rsid w:val="005C3774"/>
    <w:rsid w:val="005D09AB"/>
    <w:rsid w:val="006009B6"/>
    <w:rsid w:val="0060167C"/>
    <w:rsid w:val="0060369F"/>
    <w:rsid w:val="00603E68"/>
    <w:rsid w:val="006042E1"/>
    <w:rsid w:val="0061164A"/>
    <w:rsid w:val="00611A19"/>
    <w:rsid w:val="006206BD"/>
    <w:rsid w:val="00623A47"/>
    <w:rsid w:val="006319C2"/>
    <w:rsid w:val="00633079"/>
    <w:rsid w:val="0064556B"/>
    <w:rsid w:val="00654939"/>
    <w:rsid w:val="006665CE"/>
    <w:rsid w:val="00672DBD"/>
    <w:rsid w:val="00690B3E"/>
    <w:rsid w:val="0069295C"/>
    <w:rsid w:val="00694E25"/>
    <w:rsid w:val="006A36A8"/>
    <w:rsid w:val="006B0EF2"/>
    <w:rsid w:val="006B1405"/>
    <w:rsid w:val="006C24ED"/>
    <w:rsid w:val="006C794F"/>
    <w:rsid w:val="006D0A61"/>
    <w:rsid w:val="006D4868"/>
    <w:rsid w:val="006F2E09"/>
    <w:rsid w:val="00700FE9"/>
    <w:rsid w:val="00706167"/>
    <w:rsid w:val="007114A2"/>
    <w:rsid w:val="00712F1B"/>
    <w:rsid w:val="00716B91"/>
    <w:rsid w:val="0073167E"/>
    <w:rsid w:val="007349B9"/>
    <w:rsid w:val="00736E7F"/>
    <w:rsid w:val="00753578"/>
    <w:rsid w:val="0075546B"/>
    <w:rsid w:val="007561F3"/>
    <w:rsid w:val="00773BCA"/>
    <w:rsid w:val="00781C31"/>
    <w:rsid w:val="00782EFD"/>
    <w:rsid w:val="00791F48"/>
    <w:rsid w:val="007A2F0D"/>
    <w:rsid w:val="007B0448"/>
    <w:rsid w:val="007C3E18"/>
    <w:rsid w:val="007D1875"/>
    <w:rsid w:val="007D1A4E"/>
    <w:rsid w:val="007E19C1"/>
    <w:rsid w:val="007E554C"/>
    <w:rsid w:val="0081324A"/>
    <w:rsid w:val="0082183D"/>
    <w:rsid w:val="00823E1B"/>
    <w:rsid w:val="00824803"/>
    <w:rsid w:val="00835BF8"/>
    <w:rsid w:val="00835F63"/>
    <w:rsid w:val="0084542B"/>
    <w:rsid w:val="00855C5F"/>
    <w:rsid w:val="00863729"/>
    <w:rsid w:val="008774F9"/>
    <w:rsid w:val="00885CD1"/>
    <w:rsid w:val="008903FE"/>
    <w:rsid w:val="008A431A"/>
    <w:rsid w:val="008A5F6F"/>
    <w:rsid w:val="008D0757"/>
    <w:rsid w:val="008D16B5"/>
    <w:rsid w:val="008E3D67"/>
    <w:rsid w:val="008F5101"/>
    <w:rsid w:val="00916601"/>
    <w:rsid w:val="00924C81"/>
    <w:rsid w:val="00927696"/>
    <w:rsid w:val="009342B3"/>
    <w:rsid w:val="009344B1"/>
    <w:rsid w:val="00941302"/>
    <w:rsid w:val="00954D7A"/>
    <w:rsid w:val="009656EC"/>
    <w:rsid w:val="009819A8"/>
    <w:rsid w:val="009924B6"/>
    <w:rsid w:val="00996429"/>
    <w:rsid w:val="009A200D"/>
    <w:rsid w:val="009A73B6"/>
    <w:rsid w:val="009A7D74"/>
    <w:rsid w:val="009C43D1"/>
    <w:rsid w:val="009C4862"/>
    <w:rsid w:val="009E088F"/>
    <w:rsid w:val="009E21FF"/>
    <w:rsid w:val="00A034DD"/>
    <w:rsid w:val="00A15C03"/>
    <w:rsid w:val="00A2271D"/>
    <w:rsid w:val="00A27BDA"/>
    <w:rsid w:val="00A27C98"/>
    <w:rsid w:val="00A30BDA"/>
    <w:rsid w:val="00A53C04"/>
    <w:rsid w:val="00A61BBD"/>
    <w:rsid w:val="00A70594"/>
    <w:rsid w:val="00A7084B"/>
    <w:rsid w:val="00A97B71"/>
    <w:rsid w:val="00AA550F"/>
    <w:rsid w:val="00AA7C79"/>
    <w:rsid w:val="00AB0C72"/>
    <w:rsid w:val="00AB2820"/>
    <w:rsid w:val="00AD398F"/>
    <w:rsid w:val="00AD608E"/>
    <w:rsid w:val="00AD6ED2"/>
    <w:rsid w:val="00AE1B21"/>
    <w:rsid w:val="00AE650D"/>
    <w:rsid w:val="00AE6930"/>
    <w:rsid w:val="00AF370F"/>
    <w:rsid w:val="00B035F0"/>
    <w:rsid w:val="00B10DC1"/>
    <w:rsid w:val="00B16AD9"/>
    <w:rsid w:val="00B30B8E"/>
    <w:rsid w:val="00B31332"/>
    <w:rsid w:val="00B35BC3"/>
    <w:rsid w:val="00B40830"/>
    <w:rsid w:val="00B43BE8"/>
    <w:rsid w:val="00B6154E"/>
    <w:rsid w:val="00B73E7D"/>
    <w:rsid w:val="00B7404D"/>
    <w:rsid w:val="00B848FC"/>
    <w:rsid w:val="00B96257"/>
    <w:rsid w:val="00BA43ED"/>
    <w:rsid w:val="00BC05A6"/>
    <w:rsid w:val="00BC50F7"/>
    <w:rsid w:val="00BC58C3"/>
    <w:rsid w:val="00BD7FC1"/>
    <w:rsid w:val="00BE5805"/>
    <w:rsid w:val="00C07D5F"/>
    <w:rsid w:val="00C13B8B"/>
    <w:rsid w:val="00C159D2"/>
    <w:rsid w:val="00C257C2"/>
    <w:rsid w:val="00C3297D"/>
    <w:rsid w:val="00C35AA9"/>
    <w:rsid w:val="00C4122A"/>
    <w:rsid w:val="00C66396"/>
    <w:rsid w:val="00C72B3E"/>
    <w:rsid w:val="00C836F9"/>
    <w:rsid w:val="00C93C9F"/>
    <w:rsid w:val="00C97EC6"/>
    <w:rsid w:val="00CB36D8"/>
    <w:rsid w:val="00CC5A5D"/>
    <w:rsid w:val="00CD046A"/>
    <w:rsid w:val="00CD18CA"/>
    <w:rsid w:val="00CD59C1"/>
    <w:rsid w:val="00CE688F"/>
    <w:rsid w:val="00D00070"/>
    <w:rsid w:val="00D064A3"/>
    <w:rsid w:val="00D0696F"/>
    <w:rsid w:val="00D12296"/>
    <w:rsid w:val="00D15F42"/>
    <w:rsid w:val="00D21860"/>
    <w:rsid w:val="00D44CA4"/>
    <w:rsid w:val="00D60A59"/>
    <w:rsid w:val="00D7076A"/>
    <w:rsid w:val="00D70F1D"/>
    <w:rsid w:val="00D7708A"/>
    <w:rsid w:val="00DB7FFC"/>
    <w:rsid w:val="00DC2C80"/>
    <w:rsid w:val="00DC3C56"/>
    <w:rsid w:val="00DD3E77"/>
    <w:rsid w:val="00DE083F"/>
    <w:rsid w:val="00DE34CC"/>
    <w:rsid w:val="00DE3641"/>
    <w:rsid w:val="00DE550B"/>
    <w:rsid w:val="00DE5D72"/>
    <w:rsid w:val="00DF2A99"/>
    <w:rsid w:val="00E23D0F"/>
    <w:rsid w:val="00E36334"/>
    <w:rsid w:val="00E4331C"/>
    <w:rsid w:val="00E53A8F"/>
    <w:rsid w:val="00E56141"/>
    <w:rsid w:val="00E61C03"/>
    <w:rsid w:val="00E70535"/>
    <w:rsid w:val="00E816E6"/>
    <w:rsid w:val="00E916B2"/>
    <w:rsid w:val="00E959FB"/>
    <w:rsid w:val="00E96DA3"/>
    <w:rsid w:val="00EA042B"/>
    <w:rsid w:val="00EA552F"/>
    <w:rsid w:val="00EB14AF"/>
    <w:rsid w:val="00EB22F1"/>
    <w:rsid w:val="00EB4474"/>
    <w:rsid w:val="00EB4929"/>
    <w:rsid w:val="00EC1117"/>
    <w:rsid w:val="00EC4D52"/>
    <w:rsid w:val="00EC6EA8"/>
    <w:rsid w:val="00EE73D2"/>
    <w:rsid w:val="00EF00E0"/>
    <w:rsid w:val="00EF68B1"/>
    <w:rsid w:val="00EF75E2"/>
    <w:rsid w:val="00F051FA"/>
    <w:rsid w:val="00F067A7"/>
    <w:rsid w:val="00F1175C"/>
    <w:rsid w:val="00F3650F"/>
    <w:rsid w:val="00F36C4E"/>
    <w:rsid w:val="00F463E4"/>
    <w:rsid w:val="00F674E2"/>
    <w:rsid w:val="00F7011E"/>
    <w:rsid w:val="00F804C3"/>
    <w:rsid w:val="00F84262"/>
    <w:rsid w:val="00F947C5"/>
    <w:rsid w:val="00F951CF"/>
    <w:rsid w:val="00FA3279"/>
    <w:rsid w:val="00FA705E"/>
    <w:rsid w:val="00FB504C"/>
    <w:rsid w:val="00FB54B8"/>
    <w:rsid w:val="00FC138D"/>
    <w:rsid w:val="00FC3980"/>
    <w:rsid w:val="00FC57F8"/>
    <w:rsid w:val="00FC7BA7"/>
    <w:rsid w:val="00FE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B6AEDD"/>
  <w14:defaultImageDpi w14:val="32767"/>
  <w15:chartTrackingRefBased/>
  <w15:docId w15:val="{010BA3F7-4E7F-3649-A047-201EBC93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5614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61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Murthy</dc:creator>
  <cp:keywords/>
  <dc:description/>
  <cp:lastModifiedBy>Tim Maculins</cp:lastModifiedBy>
  <cp:revision>4</cp:revision>
  <dcterms:created xsi:type="dcterms:W3CDTF">2020-06-11T05:07:00Z</dcterms:created>
  <dcterms:modified xsi:type="dcterms:W3CDTF">2020-12-15T05:16:00Z</dcterms:modified>
</cp:coreProperties>
</file>