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62" w:rsidRPr="00915158" w:rsidRDefault="00A22362" w:rsidP="00915158">
      <w:pPr>
        <w:spacing w:after="0" w:line="276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</w:p>
    <w:p w:rsidR="00A22362" w:rsidRDefault="00A22362" w:rsidP="00A27D40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 xml:space="preserve">Hematologic predictors of mortality in </w:t>
      </w:r>
      <w:r w:rsidR="000566FD" w:rsidRPr="00915158">
        <w:rPr>
          <w:rFonts w:asciiTheme="majorBidi" w:hAnsiTheme="majorBidi" w:cstheme="majorBidi"/>
          <w:b/>
          <w:bCs/>
          <w:sz w:val="24"/>
          <w:szCs w:val="24"/>
        </w:rPr>
        <w:t xml:space="preserve">hospitalized </w:t>
      </w:r>
      <w:r w:rsidRPr="00915158">
        <w:rPr>
          <w:rFonts w:asciiTheme="majorBidi" w:hAnsiTheme="majorBidi" w:cstheme="majorBidi"/>
          <w:b/>
          <w:bCs/>
          <w:sz w:val="24"/>
          <w:szCs w:val="24"/>
        </w:rPr>
        <w:t xml:space="preserve">patients with </w:t>
      </w:r>
      <w:r w:rsidR="006858F0" w:rsidRPr="00915158">
        <w:rPr>
          <w:rFonts w:asciiTheme="majorBidi" w:hAnsiTheme="majorBidi" w:cstheme="majorBidi"/>
          <w:b/>
          <w:bCs/>
          <w:sz w:val="24"/>
          <w:szCs w:val="24"/>
        </w:rPr>
        <w:t>COVID-19</w:t>
      </w:r>
      <w:r w:rsidR="00CC5F2A" w:rsidRPr="00915158">
        <w:rPr>
          <w:rFonts w:asciiTheme="majorBidi" w:hAnsiTheme="majorBidi" w:cstheme="majorBidi"/>
          <w:b/>
          <w:bCs/>
          <w:sz w:val="24"/>
          <w:szCs w:val="24"/>
        </w:rPr>
        <w:t>: a comparative study</w:t>
      </w:r>
    </w:p>
    <w:p w:rsidR="00A27D40" w:rsidRDefault="00A27D40" w:rsidP="00915158">
      <w:pPr>
        <w:spacing w:after="0" w:line="276" w:lineRule="auto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363D9" w:rsidRPr="002363D9" w:rsidRDefault="00DB7615" w:rsidP="00DB7615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Seied Asadollah Mousavi</w:t>
      </w:r>
      <w:r w:rsidRPr="00DB761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>, Soroush Rad</w:t>
      </w:r>
      <w:r w:rsidRPr="00DB761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>, Tahereh Rostami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2363D9" w:rsidRPr="002363D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E21CC2">
        <w:rPr>
          <w:rFonts w:asciiTheme="majorBidi" w:hAnsiTheme="majorBidi" w:cstheme="majorBidi"/>
          <w:b/>
          <w:bCs/>
          <w:sz w:val="24"/>
          <w:szCs w:val="24"/>
        </w:rPr>
        <w:t>Mohammad Reza Rostami</w:t>
      </w:r>
      <w:r w:rsidRPr="00DB761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>, Seied Ali Mousavi</w:t>
      </w:r>
      <w:r w:rsidRPr="00DB761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>, Seied Amirhosein Mirhoseini</w:t>
      </w:r>
      <w:r w:rsidRPr="00DB761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2363D9" w:rsidRPr="002363D9">
        <w:rPr>
          <w:rFonts w:asciiTheme="majorBidi" w:hAnsiTheme="majorBidi" w:cstheme="majorBidi"/>
          <w:b/>
          <w:bCs/>
          <w:sz w:val="24"/>
          <w:szCs w:val="24"/>
        </w:rPr>
        <w:t>Azadeh Kiumarsi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2363D9" w:rsidRPr="002363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363D9" w:rsidRPr="002363D9" w:rsidRDefault="002363D9" w:rsidP="002363D9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2363D9" w:rsidRDefault="00DB7615" w:rsidP="002363D9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DB761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363D9" w:rsidRPr="002363D9">
        <w:rPr>
          <w:rFonts w:asciiTheme="majorBidi" w:hAnsiTheme="majorBidi" w:cstheme="majorBidi"/>
          <w:b/>
          <w:bCs/>
          <w:sz w:val="24"/>
          <w:szCs w:val="24"/>
        </w:rPr>
        <w:t>Hematology-Oncology and Stem Cell Transplantation Research Center, Tehran University of Medical Sciences, Tehran, Iran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DB7615" w:rsidRPr="002363D9" w:rsidRDefault="00DB7615" w:rsidP="002363D9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2363D9" w:rsidRPr="002363D9" w:rsidRDefault="002363D9" w:rsidP="002363D9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2363D9" w:rsidRPr="002363D9" w:rsidRDefault="002363D9" w:rsidP="002363D9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2363D9" w:rsidRPr="002363D9" w:rsidRDefault="002363D9" w:rsidP="002363D9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2363D9">
        <w:rPr>
          <w:rFonts w:asciiTheme="majorBidi" w:hAnsiTheme="majorBidi" w:cstheme="majorBidi"/>
          <w:b/>
          <w:bCs/>
          <w:sz w:val="24"/>
          <w:szCs w:val="24"/>
        </w:rPr>
        <w:t xml:space="preserve">*Corresponding Authors: </w:t>
      </w:r>
    </w:p>
    <w:p w:rsidR="002363D9" w:rsidRPr="002363D9" w:rsidRDefault="00DB7615" w:rsidP="00DB7615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Mohammad Reza</w:t>
      </w:r>
      <w:r w:rsidR="002363D9" w:rsidRPr="002363D9">
        <w:rPr>
          <w:rFonts w:asciiTheme="majorBidi" w:hAnsiTheme="majorBidi" w:cstheme="majorBidi"/>
          <w:b/>
          <w:bCs/>
          <w:sz w:val="24"/>
          <w:szCs w:val="24"/>
        </w:rPr>
        <w:t xml:space="preserve"> Rostami, MD, Hematology- Oncology and Stem Cell Transplantation Research Center, Shariati Hospital, Kargar Shomali Street, Tehran, Iran, Postal Code:1411713131. Phone: +989123890394. Fax: +98 (21) 8802 9397,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Email: mr.rostami2@gmail.com</w:t>
      </w:r>
    </w:p>
    <w:p w:rsidR="00DB7615" w:rsidRPr="002363D9" w:rsidRDefault="002363D9" w:rsidP="00DB7615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2363D9">
        <w:rPr>
          <w:rFonts w:asciiTheme="majorBidi" w:hAnsiTheme="majorBidi" w:cstheme="majorBidi"/>
          <w:b/>
          <w:bCs/>
          <w:sz w:val="24"/>
          <w:szCs w:val="24"/>
        </w:rPr>
        <w:t xml:space="preserve">Azadeh Kiumarsi, MD, Hematology- Oncology and Stem Cell Transplantation Research Center, Shariati Hospital, Kargar Shomali Street, Tehran, Iran, Postal Code:1411713131. Phone: +989121037104. Fax: +98 (21) 8802 9397, Email: </w:t>
      </w:r>
      <w:r w:rsidR="00DB7615">
        <w:rPr>
          <w:rFonts w:asciiTheme="majorBidi" w:hAnsiTheme="majorBidi" w:cstheme="majorBidi"/>
          <w:b/>
          <w:bCs/>
          <w:sz w:val="24"/>
          <w:szCs w:val="24"/>
        </w:rPr>
        <w:t>akiumars</w:t>
      </w:r>
      <w:r w:rsidR="00DB7615" w:rsidRPr="002363D9">
        <w:rPr>
          <w:rFonts w:asciiTheme="majorBidi" w:hAnsiTheme="majorBidi" w:cstheme="majorBidi"/>
          <w:b/>
          <w:bCs/>
          <w:sz w:val="24"/>
          <w:szCs w:val="24"/>
        </w:rPr>
        <w:t>i@sina.tums.ac.ir</w:t>
      </w:r>
    </w:p>
    <w:p w:rsidR="00A27D40" w:rsidRPr="00915158" w:rsidRDefault="00A27D40" w:rsidP="00DB7615">
      <w:pPr>
        <w:spacing w:after="0" w:line="276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A27D40" w:rsidRDefault="00A27D40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22362" w:rsidRPr="00915158" w:rsidRDefault="00A22362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A22362" w:rsidRPr="00915158" w:rsidRDefault="00A22362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Background</w:t>
      </w:r>
    </w:p>
    <w:p w:rsidR="00A22362" w:rsidRPr="00915158" w:rsidRDefault="00A22362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The first cases of proved COVID-1</w:t>
      </w:r>
      <w:r w:rsidR="00AE1AAF">
        <w:rPr>
          <w:rFonts w:asciiTheme="majorBidi" w:hAnsiTheme="majorBidi" w:cstheme="majorBidi"/>
          <w:sz w:val="24"/>
          <w:szCs w:val="24"/>
        </w:rPr>
        <w:t>9 in Iran were reported in February</w:t>
      </w:r>
      <w:r w:rsidRPr="00915158">
        <w:rPr>
          <w:rFonts w:asciiTheme="majorBidi" w:hAnsiTheme="majorBidi" w:cstheme="majorBidi"/>
          <w:sz w:val="24"/>
          <w:szCs w:val="24"/>
        </w:rPr>
        <w:t xml:space="preserve"> 2020 and has since rapidly spread worldwide. We aimed to clarify the clinical significance of hematologic parameters alteration in COVID-19.</w:t>
      </w:r>
    </w:p>
    <w:p w:rsidR="00A22362" w:rsidRPr="00915158" w:rsidRDefault="00A22362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Methods</w:t>
      </w:r>
    </w:p>
    <w:p w:rsidR="00A22362" w:rsidRPr="00915158" w:rsidRDefault="00A22362" w:rsidP="00085CA7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Different hematologic parameters were measured</w:t>
      </w:r>
      <w:r w:rsidR="00D01BCF" w:rsidRPr="00915158">
        <w:rPr>
          <w:rFonts w:asciiTheme="majorBidi" w:hAnsiTheme="majorBidi" w:cstheme="majorBidi"/>
          <w:sz w:val="24"/>
          <w:szCs w:val="24"/>
        </w:rPr>
        <w:t xml:space="preserve"> in 225</w:t>
      </w:r>
      <w:r w:rsidRPr="00915158">
        <w:rPr>
          <w:rFonts w:asciiTheme="majorBidi" w:hAnsiTheme="majorBidi" w:cstheme="majorBidi"/>
          <w:sz w:val="24"/>
          <w:szCs w:val="24"/>
        </w:rPr>
        <w:t xml:space="preserve"> hospitalized COVID-19 patients</w:t>
      </w:r>
      <w:r w:rsidR="00085CA7">
        <w:rPr>
          <w:rFonts w:asciiTheme="majorBidi" w:hAnsiTheme="majorBidi" w:cstheme="majorBidi"/>
          <w:sz w:val="24"/>
          <w:szCs w:val="24"/>
        </w:rPr>
        <w:t xml:space="preserve"> in a tertiary care university hospital, during the peak of COVID-19 outbreak </w:t>
      </w:r>
      <w:r w:rsidRPr="00915158">
        <w:rPr>
          <w:rFonts w:asciiTheme="majorBidi" w:hAnsiTheme="majorBidi" w:cstheme="majorBidi"/>
          <w:sz w:val="24"/>
          <w:szCs w:val="24"/>
        </w:rPr>
        <w:t xml:space="preserve">and their association with duration of hospitalization, ICU admission and </w:t>
      </w:r>
      <w:r w:rsidR="00085CA7">
        <w:rPr>
          <w:rFonts w:asciiTheme="majorBidi" w:hAnsiTheme="majorBidi" w:cstheme="majorBidi"/>
          <w:sz w:val="24"/>
          <w:szCs w:val="24"/>
        </w:rPr>
        <w:t xml:space="preserve">especially </w:t>
      </w:r>
      <w:r w:rsidRPr="00915158">
        <w:rPr>
          <w:rFonts w:asciiTheme="majorBidi" w:hAnsiTheme="majorBidi" w:cstheme="majorBidi"/>
          <w:sz w:val="24"/>
          <w:szCs w:val="24"/>
        </w:rPr>
        <w:t>mortality was analyzed.</w:t>
      </w:r>
    </w:p>
    <w:p w:rsidR="00A22362" w:rsidRPr="00915158" w:rsidRDefault="00A22362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Results</w:t>
      </w:r>
    </w:p>
    <w:p w:rsidR="00173108" w:rsidRPr="00915158" w:rsidRDefault="00E31C78" w:rsidP="00687767">
      <w:pPr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Among a total of 225 patients, 24.4% did not survive after admission.</w:t>
      </w:r>
      <w:r w:rsidR="002F1525">
        <w:rPr>
          <w:rFonts w:asciiTheme="majorBidi" w:hAnsiTheme="majorBidi" w:cstheme="majorBidi"/>
          <w:sz w:val="24"/>
          <w:szCs w:val="24"/>
        </w:rPr>
        <w:t xml:space="preserve"> L</w:t>
      </w:r>
      <w:r w:rsidR="00405BF1" w:rsidRPr="00405BF1">
        <w:rPr>
          <w:rFonts w:asciiTheme="majorBidi" w:hAnsiTheme="majorBidi" w:cstheme="majorBidi"/>
          <w:sz w:val="24"/>
          <w:szCs w:val="24"/>
        </w:rPr>
        <w:t xml:space="preserve">ymphopenia and neutrophilia were observed in 52.7% and 21.4% of </w:t>
      </w:r>
      <w:r w:rsidR="002F1525">
        <w:rPr>
          <w:rFonts w:asciiTheme="majorBidi" w:hAnsiTheme="majorBidi" w:cstheme="majorBidi"/>
          <w:sz w:val="24"/>
          <w:szCs w:val="24"/>
        </w:rPr>
        <w:t xml:space="preserve">the </w:t>
      </w:r>
      <w:r w:rsidR="00405BF1" w:rsidRPr="00405BF1">
        <w:rPr>
          <w:rFonts w:asciiTheme="majorBidi" w:hAnsiTheme="majorBidi" w:cstheme="majorBidi"/>
          <w:sz w:val="24"/>
          <w:szCs w:val="24"/>
        </w:rPr>
        <w:t>patients, respectively. The mean count of neutrophils was significantly hig</w:t>
      </w:r>
      <w:r w:rsidR="002F1525">
        <w:rPr>
          <w:rFonts w:asciiTheme="majorBidi" w:hAnsiTheme="majorBidi" w:cstheme="majorBidi"/>
          <w:sz w:val="24"/>
          <w:szCs w:val="24"/>
        </w:rPr>
        <w:t xml:space="preserve">her in non-survived patients </w:t>
      </w:r>
      <w:r w:rsidR="00687767">
        <w:rPr>
          <w:rFonts w:asciiTheme="majorBidi" w:hAnsiTheme="majorBidi" w:cstheme="majorBidi"/>
          <w:sz w:val="24"/>
          <w:szCs w:val="24"/>
        </w:rPr>
        <w:t>(P=0.032). Elevated n</w:t>
      </w:r>
      <w:r w:rsidR="00405BF1" w:rsidRPr="00405BF1">
        <w:rPr>
          <w:rFonts w:asciiTheme="majorBidi" w:hAnsiTheme="majorBidi" w:cstheme="majorBidi"/>
          <w:sz w:val="24"/>
          <w:szCs w:val="24"/>
        </w:rPr>
        <w:t>eutrophi</w:t>
      </w:r>
      <w:r w:rsidR="00E92CBF">
        <w:rPr>
          <w:rFonts w:asciiTheme="majorBidi" w:hAnsiTheme="majorBidi" w:cstheme="majorBidi"/>
          <w:sz w:val="24"/>
          <w:szCs w:val="24"/>
        </w:rPr>
        <w:t>l-to-lymphocyte ratio (NLR) was</w:t>
      </w:r>
      <w:r w:rsidR="00405BF1" w:rsidRPr="00405BF1">
        <w:rPr>
          <w:rFonts w:asciiTheme="majorBidi" w:hAnsiTheme="majorBidi" w:cstheme="majorBidi"/>
          <w:sz w:val="24"/>
          <w:szCs w:val="24"/>
        </w:rPr>
        <w:t xml:space="preserve"> significantly associated with mortality (</w:t>
      </w:r>
      <w:r w:rsidR="00405BF1">
        <w:rPr>
          <w:rFonts w:asciiTheme="majorBidi" w:hAnsiTheme="majorBidi" w:cstheme="majorBidi"/>
          <w:sz w:val="24"/>
          <w:szCs w:val="24"/>
        </w:rPr>
        <w:t>P&lt;0.001</w:t>
      </w:r>
      <w:r w:rsidR="00405BF1" w:rsidRPr="00405BF1">
        <w:rPr>
          <w:rFonts w:asciiTheme="majorBidi" w:hAnsiTheme="majorBidi" w:cstheme="majorBidi"/>
          <w:sz w:val="24"/>
          <w:szCs w:val="24"/>
        </w:rPr>
        <w:t xml:space="preserve">). </w:t>
      </w:r>
      <w:r w:rsidR="00173108">
        <w:rPr>
          <w:rFonts w:asciiTheme="majorBidi" w:hAnsiTheme="majorBidi" w:cstheme="majorBidi"/>
          <w:sz w:val="24"/>
          <w:szCs w:val="24"/>
        </w:rPr>
        <w:t>Low h</w:t>
      </w:r>
      <w:r w:rsidR="00173108" w:rsidRPr="00915158">
        <w:rPr>
          <w:rFonts w:asciiTheme="majorBidi" w:hAnsiTheme="majorBidi" w:cstheme="majorBidi"/>
          <w:sz w:val="24"/>
          <w:szCs w:val="24"/>
        </w:rPr>
        <w:t>emoglobin (Hb) concentration significantly correlated with mortality (P=0.004) and ICU admission (P=0.04). P</w:t>
      </w:r>
      <w:r w:rsidR="002F1525">
        <w:rPr>
          <w:rFonts w:asciiTheme="majorBidi" w:hAnsiTheme="majorBidi" w:cstheme="majorBidi"/>
          <w:sz w:val="24"/>
          <w:szCs w:val="24"/>
        </w:rPr>
        <w:t>latelet</w:t>
      </w:r>
      <w:r w:rsidR="00173108" w:rsidRPr="00915158">
        <w:rPr>
          <w:rFonts w:asciiTheme="majorBidi" w:hAnsiTheme="majorBidi" w:cstheme="majorBidi"/>
          <w:sz w:val="24"/>
          <w:szCs w:val="24"/>
        </w:rPr>
        <w:t xml:space="preserve"> (Plt) </w:t>
      </w:r>
      <w:r w:rsidR="002F1525">
        <w:rPr>
          <w:rFonts w:asciiTheme="majorBidi" w:hAnsiTheme="majorBidi" w:cstheme="majorBidi"/>
          <w:sz w:val="24"/>
          <w:szCs w:val="24"/>
        </w:rPr>
        <w:t xml:space="preserve">count </w:t>
      </w:r>
      <w:r w:rsidR="00173108" w:rsidRPr="00915158">
        <w:rPr>
          <w:rFonts w:asciiTheme="majorBidi" w:hAnsiTheme="majorBidi" w:cstheme="majorBidi"/>
          <w:sz w:val="24"/>
          <w:szCs w:val="24"/>
        </w:rPr>
        <w:t>was significantly lower in the non-survived patients (P=0.023). Non</w:t>
      </w:r>
      <w:r w:rsidR="00173108" w:rsidRPr="00915158">
        <w:rPr>
          <w:rFonts w:ascii="Cambria Math" w:hAnsi="Cambria Math" w:cs="Cambria Math"/>
          <w:sz w:val="24"/>
          <w:szCs w:val="24"/>
        </w:rPr>
        <w:t>‐</w:t>
      </w:r>
      <w:r w:rsidR="00173108" w:rsidRPr="00915158">
        <w:rPr>
          <w:rFonts w:asciiTheme="majorBidi" w:hAnsiTheme="majorBidi" w:cstheme="majorBidi"/>
          <w:sz w:val="24"/>
          <w:szCs w:val="24"/>
        </w:rPr>
        <w:t xml:space="preserve">survivors had significantly lower nadir Hb and Plt counts than survivors (P &lt;0.001 in both parameters). </w:t>
      </w:r>
      <w:r w:rsidR="00173108" w:rsidRPr="00915158">
        <w:rPr>
          <w:rFonts w:asciiTheme="majorBidi" w:hAnsiTheme="majorBidi" w:cstheme="majorBidi"/>
          <w:sz w:val="24"/>
          <w:szCs w:val="24"/>
        </w:rPr>
        <w:lastRenderedPageBreak/>
        <w:t>Platelet-to-lymphocyte ratio (PLR) also correlated with mortality and was significantly higher in non-survivors (P=0.034).</w:t>
      </w:r>
    </w:p>
    <w:p w:rsidR="00A22362" w:rsidRPr="00915158" w:rsidRDefault="00A22362" w:rsidP="0017310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Conclusions</w:t>
      </w:r>
    </w:p>
    <w:p w:rsidR="00F630C5" w:rsidRPr="00915158" w:rsidRDefault="000236BB" w:rsidP="000236BB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Hematologic laboratory parameters have always been a crucial component of diagnostic and therapeutic strategies in infectious disease. </w:t>
      </w:r>
      <w:r w:rsidR="00F630C5" w:rsidRPr="00915158">
        <w:rPr>
          <w:rFonts w:asciiTheme="majorBidi" w:hAnsiTheme="majorBidi" w:cstheme="majorBidi"/>
          <w:sz w:val="24"/>
          <w:szCs w:val="24"/>
        </w:rPr>
        <w:t>Hematologic predictors of a fatal outco</w:t>
      </w:r>
      <w:r>
        <w:rPr>
          <w:rFonts w:asciiTheme="majorBidi" w:hAnsiTheme="majorBidi" w:cstheme="majorBidi"/>
          <w:sz w:val="24"/>
          <w:szCs w:val="24"/>
        </w:rPr>
        <w:t>me in COVID19 hospitalized patients</w:t>
      </w:r>
      <w:r w:rsidR="00F630C5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412BC">
        <w:rPr>
          <w:rFonts w:asciiTheme="majorBidi" w:hAnsiTheme="majorBidi" w:cstheme="majorBidi"/>
          <w:sz w:val="24"/>
          <w:szCs w:val="24"/>
        </w:rPr>
        <w:t xml:space="preserve">in our series </w:t>
      </w:r>
      <w:r w:rsidR="00F630C5" w:rsidRPr="00915158">
        <w:rPr>
          <w:rFonts w:asciiTheme="majorBidi" w:hAnsiTheme="majorBidi" w:cstheme="majorBidi"/>
          <w:sz w:val="24"/>
          <w:szCs w:val="24"/>
        </w:rPr>
        <w:t>include elevated NLR and PLR, lower than normal Hb and Plt, elevated D-dimer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E0CDB">
        <w:rPr>
          <w:rFonts w:asciiTheme="majorBidi" w:hAnsiTheme="majorBidi" w:cstheme="majorBidi"/>
          <w:sz w:val="24"/>
          <w:szCs w:val="24"/>
        </w:rPr>
        <w:t xml:space="preserve">prolonged </w:t>
      </w:r>
      <w:r>
        <w:rPr>
          <w:rFonts w:asciiTheme="majorBidi" w:hAnsiTheme="majorBidi" w:cstheme="majorBidi"/>
          <w:sz w:val="24"/>
          <w:szCs w:val="24"/>
        </w:rPr>
        <w:t>prothrombin time</w:t>
      </w:r>
      <w:r w:rsidR="00F630C5" w:rsidRPr="0091515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r w:rsidR="00F630C5" w:rsidRPr="00915158">
        <w:rPr>
          <w:rFonts w:asciiTheme="majorBidi" w:hAnsiTheme="majorBidi" w:cstheme="majorBidi"/>
          <w:sz w:val="24"/>
          <w:szCs w:val="24"/>
        </w:rPr>
        <w:t>PT</w:t>
      </w:r>
      <w:r>
        <w:rPr>
          <w:rFonts w:asciiTheme="majorBidi" w:hAnsiTheme="majorBidi" w:cstheme="majorBidi"/>
          <w:sz w:val="24"/>
          <w:szCs w:val="24"/>
        </w:rPr>
        <w:t>)</w:t>
      </w:r>
      <w:r w:rsidR="00F630C5" w:rsidRPr="00915158">
        <w:rPr>
          <w:rFonts w:asciiTheme="majorBidi" w:hAnsiTheme="majorBidi" w:cstheme="majorBidi"/>
          <w:sz w:val="24"/>
          <w:szCs w:val="24"/>
        </w:rPr>
        <w:t>, together with elevated inflammatory indicators in the blood.</w:t>
      </w:r>
    </w:p>
    <w:p w:rsidR="00A22362" w:rsidRPr="00915158" w:rsidRDefault="00082ED0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Key words: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A22362" w:rsidRPr="00915158">
        <w:rPr>
          <w:rFonts w:asciiTheme="majorBidi" w:hAnsiTheme="majorBidi" w:cstheme="majorBidi"/>
          <w:sz w:val="24"/>
          <w:szCs w:val="24"/>
        </w:rPr>
        <w:t>COVID</w:t>
      </w:r>
      <w:r w:rsidR="00F412BC">
        <w:rPr>
          <w:rFonts w:asciiTheme="majorBidi" w:hAnsiTheme="majorBidi" w:cstheme="majorBidi"/>
          <w:sz w:val="24"/>
          <w:szCs w:val="24"/>
        </w:rPr>
        <w:t>-19, neutrophil, lymphocyte, hemoglobin, platelet, CBC, ESR, CRP.</w:t>
      </w:r>
    </w:p>
    <w:p w:rsid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82ED0" w:rsidRPr="00915158" w:rsidRDefault="00082ED0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Introduction:</w:t>
      </w:r>
    </w:p>
    <w:p w:rsidR="00082ED0" w:rsidRPr="00915158" w:rsidRDefault="00082ED0" w:rsidP="00983F59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Severe acute respiratory syndrome coronavirus 2 (SARS-CoV-2) is proved to be responsible for the Coron</w:t>
      </w:r>
      <w:r w:rsidR="00F412BC">
        <w:rPr>
          <w:rFonts w:asciiTheme="majorBidi" w:hAnsiTheme="majorBidi" w:cstheme="majorBidi"/>
          <w:sz w:val="24"/>
          <w:szCs w:val="24"/>
        </w:rPr>
        <w:t>a Virus Disease 2019 (COVID-19),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412BC">
        <w:rPr>
          <w:rFonts w:asciiTheme="majorBidi" w:hAnsiTheme="majorBidi" w:cstheme="majorBidi"/>
          <w:sz w:val="24"/>
          <w:szCs w:val="24"/>
        </w:rPr>
        <w:t>which</w:t>
      </w:r>
      <w:r w:rsidR="00FD5005" w:rsidRPr="00915158">
        <w:rPr>
          <w:rFonts w:asciiTheme="majorBidi" w:hAnsiTheme="majorBidi" w:cstheme="majorBidi"/>
          <w:sz w:val="24"/>
          <w:szCs w:val="24"/>
        </w:rPr>
        <w:t xml:space="preserve"> has possibly originated from </w:t>
      </w:r>
      <w:r w:rsidRPr="00915158">
        <w:rPr>
          <w:rFonts w:asciiTheme="majorBidi" w:hAnsiTheme="majorBidi" w:cstheme="majorBidi"/>
          <w:sz w:val="24"/>
          <w:szCs w:val="24"/>
        </w:rPr>
        <w:t xml:space="preserve">Wuhan, </w:t>
      </w:r>
      <w:r w:rsidR="00FD5005" w:rsidRPr="00915158">
        <w:rPr>
          <w:rFonts w:asciiTheme="majorBidi" w:hAnsiTheme="majorBidi" w:cstheme="majorBidi"/>
          <w:sz w:val="24"/>
          <w:szCs w:val="24"/>
        </w:rPr>
        <w:t>China, but i</w:t>
      </w:r>
      <w:r w:rsidR="00997942" w:rsidRPr="00915158">
        <w:rPr>
          <w:rFonts w:asciiTheme="majorBidi" w:hAnsiTheme="majorBidi" w:cstheme="majorBidi"/>
          <w:sz w:val="24"/>
          <w:szCs w:val="24"/>
        </w:rPr>
        <w:t xml:space="preserve">t </w:t>
      </w:r>
      <w:r w:rsidR="00F412BC">
        <w:rPr>
          <w:rFonts w:asciiTheme="majorBidi" w:hAnsiTheme="majorBidi" w:cstheme="majorBidi"/>
          <w:sz w:val="24"/>
          <w:szCs w:val="24"/>
        </w:rPr>
        <w:t>is</w:t>
      </w:r>
      <w:r w:rsidR="00997942" w:rsidRPr="00915158">
        <w:rPr>
          <w:rFonts w:asciiTheme="majorBidi" w:hAnsiTheme="majorBidi" w:cstheme="majorBidi"/>
          <w:sz w:val="24"/>
          <w:szCs w:val="24"/>
        </w:rPr>
        <w:t xml:space="preserve"> rapidly spread</w:t>
      </w:r>
      <w:r w:rsidR="00F412BC">
        <w:rPr>
          <w:rFonts w:asciiTheme="majorBidi" w:hAnsiTheme="majorBidi" w:cstheme="majorBidi"/>
          <w:sz w:val="24"/>
          <w:szCs w:val="24"/>
        </w:rPr>
        <w:t>ing</w:t>
      </w:r>
      <w:r w:rsidR="00997942" w:rsidRPr="00915158">
        <w:rPr>
          <w:rFonts w:asciiTheme="majorBidi" w:hAnsiTheme="majorBidi" w:cstheme="majorBidi"/>
          <w:sz w:val="24"/>
          <w:szCs w:val="24"/>
        </w:rPr>
        <w:t xml:space="preserve"> worldwide.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F412BC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"/>
      </w:r>
      <w:r w:rsidR="00BB493D">
        <w:rPr>
          <w:rFonts w:asciiTheme="majorBidi" w:hAnsiTheme="majorBidi" w:cstheme="majorBidi"/>
          <w:sz w:val="24"/>
          <w:szCs w:val="24"/>
        </w:rPr>
        <w:t>,</w:t>
      </w:r>
      <w:r w:rsidR="00BB493D">
        <w:rPr>
          <w:rStyle w:val="EndnoteReference"/>
          <w:rFonts w:asciiTheme="majorBidi" w:hAnsiTheme="majorBidi" w:cstheme="majorBidi"/>
          <w:sz w:val="24"/>
          <w:szCs w:val="24"/>
        </w:rPr>
        <w:endnoteReference w:id="2"/>
      </w:r>
      <w:r w:rsidR="00BB493D">
        <w:rPr>
          <w:rFonts w:asciiTheme="majorBidi" w:hAnsiTheme="majorBidi" w:cstheme="majorBidi"/>
          <w:sz w:val="24"/>
          <w:szCs w:val="24"/>
        </w:rPr>
        <w:t>,</w:t>
      </w:r>
      <w:r w:rsidR="00BB493D">
        <w:rPr>
          <w:rStyle w:val="EndnoteReference"/>
          <w:rFonts w:asciiTheme="majorBidi" w:hAnsiTheme="majorBidi" w:cstheme="majorBidi"/>
          <w:sz w:val="24"/>
          <w:szCs w:val="24"/>
        </w:rPr>
        <w:endnoteReference w:id="3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F412BC">
        <w:rPr>
          <w:rFonts w:asciiTheme="majorBidi" w:hAnsiTheme="majorBidi" w:cstheme="majorBidi"/>
          <w:sz w:val="24"/>
          <w:szCs w:val="24"/>
        </w:rPr>
        <w:t xml:space="preserve"> </w:t>
      </w:r>
      <w:r w:rsidR="00997942" w:rsidRPr="00915158">
        <w:rPr>
          <w:rFonts w:asciiTheme="majorBidi" w:hAnsiTheme="majorBidi" w:cstheme="majorBidi"/>
          <w:sz w:val="24"/>
          <w:szCs w:val="24"/>
        </w:rPr>
        <w:t>Although most infected people are asymptomatic, this pathogen in some cases could result in severe respiratory condition requiring specialized management at intensive care units (ICU)</w:t>
      </w:r>
      <w:r w:rsidR="00F412BC">
        <w:rPr>
          <w:rFonts w:asciiTheme="majorBidi" w:hAnsiTheme="majorBidi" w:cstheme="majorBidi"/>
          <w:sz w:val="24"/>
          <w:szCs w:val="24"/>
        </w:rPr>
        <w:t xml:space="preserve"> and causing mortality</w:t>
      </w:r>
      <w:r w:rsidR="00997942" w:rsidRPr="00915158">
        <w:rPr>
          <w:rFonts w:asciiTheme="majorBidi" w:hAnsiTheme="majorBidi" w:cstheme="majorBidi"/>
          <w:sz w:val="24"/>
          <w:szCs w:val="24"/>
        </w:rPr>
        <w:t>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997942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4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5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6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F412BC">
        <w:rPr>
          <w:rFonts w:asciiTheme="majorBidi" w:hAnsiTheme="majorBidi" w:cstheme="majorBidi"/>
          <w:sz w:val="24"/>
          <w:szCs w:val="24"/>
        </w:rPr>
        <w:t xml:space="preserve"> </w:t>
      </w:r>
      <w:r w:rsidR="004A23B1" w:rsidRPr="00915158">
        <w:rPr>
          <w:rFonts w:asciiTheme="majorBidi" w:hAnsiTheme="majorBidi" w:cstheme="majorBidi"/>
          <w:sz w:val="24"/>
          <w:szCs w:val="24"/>
        </w:rPr>
        <w:t xml:space="preserve">Laboratory findings and </w:t>
      </w:r>
      <w:r w:rsidR="00F44E38" w:rsidRPr="00915158">
        <w:rPr>
          <w:rFonts w:asciiTheme="majorBidi" w:hAnsiTheme="majorBidi" w:cstheme="majorBidi"/>
          <w:sz w:val="24"/>
          <w:szCs w:val="24"/>
        </w:rPr>
        <w:t>their association</w:t>
      </w:r>
      <w:r w:rsidR="004A23B1" w:rsidRPr="00915158">
        <w:rPr>
          <w:rFonts w:asciiTheme="majorBidi" w:hAnsiTheme="majorBidi" w:cstheme="majorBidi"/>
          <w:sz w:val="24"/>
          <w:szCs w:val="24"/>
        </w:rPr>
        <w:t xml:space="preserve"> with </w:t>
      </w:r>
      <w:r w:rsidR="00F44E38" w:rsidRPr="00915158">
        <w:rPr>
          <w:rFonts w:asciiTheme="majorBidi" w:hAnsiTheme="majorBidi" w:cstheme="majorBidi"/>
          <w:sz w:val="24"/>
          <w:szCs w:val="24"/>
        </w:rPr>
        <w:t xml:space="preserve">disease </w:t>
      </w:r>
      <w:r w:rsidR="004A23B1" w:rsidRPr="00915158">
        <w:rPr>
          <w:rFonts w:asciiTheme="majorBidi" w:hAnsiTheme="majorBidi" w:cstheme="majorBidi"/>
          <w:sz w:val="24"/>
          <w:szCs w:val="24"/>
        </w:rPr>
        <w:t>outco</w:t>
      </w:r>
      <w:r w:rsidR="00F44E38" w:rsidRPr="00915158">
        <w:rPr>
          <w:rFonts w:asciiTheme="majorBidi" w:hAnsiTheme="majorBidi" w:cstheme="majorBidi"/>
          <w:sz w:val="24"/>
          <w:szCs w:val="24"/>
        </w:rPr>
        <w:t xml:space="preserve">mes </w:t>
      </w:r>
      <w:r w:rsidR="004A23B1" w:rsidRPr="00915158">
        <w:rPr>
          <w:rFonts w:asciiTheme="majorBidi" w:hAnsiTheme="majorBidi" w:cstheme="majorBidi"/>
          <w:sz w:val="24"/>
          <w:szCs w:val="24"/>
        </w:rPr>
        <w:t xml:space="preserve">could constitute valuable knowledge </w:t>
      </w:r>
      <w:r w:rsidR="00DD642B" w:rsidRPr="00915158">
        <w:rPr>
          <w:rFonts w:asciiTheme="majorBidi" w:hAnsiTheme="majorBidi" w:cstheme="majorBidi"/>
          <w:sz w:val="24"/>
          <w:szCs w:val="24"/>
        </w:rPr>
        <w:t>during the emergence of</w:t>
      </w:r>
      <w:r w:rsidR="004A23B1" w:rsidRPr="00915158">
        <w:rPr>
          <w:rFonts w:asciiTheme="majorBidi" w:hAnsiTheme="majorBidi" w:cstheme="majorBidi"/>
          <w:sz w:val="24"/>
          <w:szCs w:val="24"/>
        </w:rPr>
        <w:t xml:space="preserve"> a </w:t>
      </w:r>
      <w:r w:rsidR="00DD642B" w:rsidRPr="00915158">
        <w:rPr>
          <w:rFonts w:asciiTheme="majorBidi" w:hAnsiTheme="majorBidi" w:cstheme="majorBidi"/>
          <w:sz w:val="24"/>
          <w:szCs w:val="24"/>
        </w:rPr>
        <w:t>novel</w:t>
      </w:r>
      <w:r w:rsidR="004A23B1" w:rsidRPr="00915158">
        <w:rPr>
          <w:rFonts w:asciiTheme="majorBidi" w:hAnsiTheme="majorBidi" w:cstheme="majorBidi"/>
          <w:sz w:val="24"/>
          <w:szCs w:val="24"/>
        </w:rPr>
        <w:t xml:space="preserve"> infectious disease.</w:t>
      </w:r>
      <w:r w:rsidR="007A1B45" w:rsidRPr="00915158">
        <w:rPr>
          <w:rFonts w:asciiTheme="majorBidi" w:hAnsiTheme="majorBidi" w:cstheme="majorBidi"/>
          <w:sz w:val="24"/>
          <w:szCs w:val="24"/>
        </w:rPr>
        <w:t xml:space="preserve"> Although the clinical characteristics of COVID-19 have been broadly defined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7A1B45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7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7A1B45" w:rsidRPr="00915158">
        <w:rPr>
          <w:rFonts w:asciiTheme="majorBidi" w:hAnsiTheme="majorBidi" w:cstheme="majorBidi"/>
          <w:sz w:val="24"/>
          <w:szCs w:val="24"/>
        </w:rPr>
        <w:t>, large sample sized studies representing laboratory abnormalities found in these patients still seem to be scarce.</w:t>
      </w:r>
      <w:r w:rsidR="00616F21" w:rsidRPr="00915158">
        <w:rPr>
          <w:rFonts w:asciiTheme="majorBidi" w:hAnsiTheme="majorBidi" w:cstheme="majorBidi"/>
          <w:sz w:val="24"/>
          <w:szCs w:val="24"/>
        </w:rPr>
        <w:t xml:space="preserve"> Direct identification of the virus is mostly done by real-time reverse-transcription polymerase chain reaction (rRT-PCR) but other laboratory diagnostics could be used for weighing the severity of the disease, predicting </w:t>
      </w:r>
      <w:r w:rsidR="00983F59">
        <w:rPr>
          <w:rFonts w:asciiTheme="majorBidi" w:hAnsiTheme="majorBidi" w:cstheme="majorBidi"/>
          <w:sz w:val="24"/>
          <w:szCs w:val="24"/>
        </w:rPr>
        <w:t>mortality</w:t>
      </w:r>
      <w:r w:rsidR="00291812" w:rsidRPr="00915158">
        <w:rPr>
          <w:rFonts w:asciiTheme="majorBidi" w:hAnsiTheme="majorBidi" w:cstheme="majorBidi"/>
          <w:sz w:val="24"/>
          <w:szCs w:val="24"/>
        </w:rPr>
        <w:t xml:space="preserve"> and f</w:t>
      </w:r>
      <w:r w:rsidR="00616F21" w:rsidRPr="00915158">
        <w:rPr>
          <w:rFonts w:asciiTheme="majorBidi" w:hAnsiTheme="majorBidi" w:cstheme="majorBidi"/>
          <w:sz w:val="24"/>
          <w:szCs w:val="24"/>
        </w:rPr>
        <w:t xml:space="preserve">or </w:t>
      </w:r>
      <w:r w:rsidR="00291812" w:rsidRPr="00915158">
        <w:rPr>
          <w:rFonts w:asciiTheme="majorBidi" w:hAnsiTheme="majorBidi" w:cstheme="majorBidi"/>
          <w:sz w:val="24"/>
          <w:szCs w:val="24"/>
        </w:rPr>
        <w:t>deciding about the</w:t>
      </w:r>
      <w:r w:rsidR="00616F21" w:rsidRPr="00915158">
        <w:rPr>
          <w:rFonts w:asciiTheme="majorBidi" w:hAnsiTheme="majorBidi" w:cstheme="majorBidi"/>
          <w:sz w:val="24"/>
          <w:szCs w:val="24"/>
        </w:rPr>
        <w:t xml:space="preserve"> treatment </w:t>
      </w:r>
      <w:r w:rsidR="00983F59">
        <w:rPr>
          <w:rFonts w:asciiTheme="majorBidi" w:hAnsiTheme="majorBidi" w:cstheme="majorBidi"/>
          <w:sz w:val="24"/>
          <w:szCs w:val="24"/>
        </w:rPr>
        <w:t>plans</w:t>
      </w:r>
      <w:r w:rsidR="00291812" w:rsidRPr="00915158">
        <w:rPr>
          <w:rFonts w:asciiTheme="majorBidi" w:hAnsiTheme="majorBidi" w:cstheme="majorBidi"/>
          <w:sz w:val="24"/>
          <w:szCs w:val="24"/>
        </w:rPr>
        <w:t>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616F21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8"/>
      </w:r>
      <w:r w:rsidR="009876E8">
        <w:rPr>
          <w:rFonts w:asciiTheme="majorBidi" w:hAnsiTheme="majorBidi" w:cstheme="majorBidi"/>
          <w:sz w:val="24"/>
          <w:szCs w:val="24"/>
        </w:rPr>
        <w:t>,</w:t>
      </w:r>
      <w:bookmarkStart w:id="0" w:name="_GoBack"/>
      <w:bookmarkEnd w:id="0"/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9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983F59">
        <w:rPr>
          <w:rFonts w:asciiTheme="majorBidi" w:hAnsiTheme="majorBidi" w:cstheme="majorBidi"/>
          <w:sz w:val="24"/>
          <w:szCs w:val="24"/>
        </w:rPr>
        <w:t xml:space="preserve"> </w:t>
      </w:r>
      <w:r w:rsidRPr="00915158">
        <w:rPr>
          <w:rFonts w:asciiTheme="majorBidi" w:hAnsiTheme="majorBidi" w:cstheme="majorBidi"/>
          <w:sz w:val="24"/>
          <w:szCs w:val="24"/>
        </w:rPr>
        <w:t xml:space="preserve">In this </w:t>
      </w:r>
      <w:r w:rsidR="00FD0640" w:rsidRPr="00915158">
        <w:rPr>
          <w:rFonts w:asciiTheme="majorBidi" w:hAnsiTheme="majorBidi" w:cstheme="majorBidi"/>
          <w:sz w:val="24"/>
          <w:szCs w:val="24"/>
        </w:rPr>
        <w:t>study</w:t>
      </w:r>
      <w:r w:rsidRPr="00915158">
        <w:rPr>
          <w:rFonts w:asciiTheme="majorBidi" w:hAnsiTheme="majorBidi" w:cstheme="majorBidi"/>
          <w:sz w:val="24"/>
          <w:szCs w:val="24"/>
        </w:rPr>
        <w:t>, we</w:t>
      </w:r>
      <w:r w:rsidR="00BE43F0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Pr="00915158">
        <w:rPr>
          <w:rFonts w:asciiTheme="majorBidi" w:hAnsiTheme="majorBidi" w:cstheme="majorBidi"/>
          <w:sz w:val="24"/>
          <w:szCs w:val="24"/>
        </w:rPr>
        <w:t xml:space="preserve">aimed to clarify the </w:t>
      </w:r>
      <w:r w:rsidR="00FD0640" w:rsidRPr="00915158">
        <w:rPr>
          <w:rFonts w:asciiTheme="majorBidi" w:hAnsiTheme="majorBidi" w:cstheme="majorBidi"/>
          <w:sz w:val="24"/>
          <w:szCs w:val="24"/>
        </w:rPr>
        <w:t>correlation between</w:t>
      </w:r>
      <w:r w:rsidR="00BE43F0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DD642B" w:rsidRPr="00915158">
        <w:rPr>
          <w:rFonts w:asciiTheme="majorBidi" w:hAnsiTheme="majorBidi" w:cstheme="majorBidi"/>
          <w:sz w:val="24"/>
          <w:szCs w:val="24"/>
        </w:rPr>
        <w:t xml:space="preserve">laboratory </w:t>
      </w:r>
      <w:r w:rsidR="00BE43F0" w:rsidRPr="00915158">
        <w:rPr>
          <w:rFonts w:asciiTheme="majorBidi" w:hAnsiTheme="majorBidi" w:cstheme="majorBidi"/>
          <w:sz w:val="24"/>
          <w:szCs w:val="24"/>
        </w:rPr>
        <w:t xml:space="preserve">hematologic </w:t>
      </w:r>
      <w:r w:rsidR="00DD642B" w:rsidRPr="00915158">
        <w:rPr>
          <w:rFonts w:asciiTheme="majorBidi" w:hAnsiTheme="majorBidi" w:cstheme="majorBidi"/>
          <w:sz w:val="24"/>
          <w:szCs w:val="24"/>
        </w:rPr>
        <w:t xml:space="preserve">parameters </w:t>
      </w:r>
      <w:r w:rsidR="00FD0640" w:rsidRPr="00915158">
        <w:rPr>
          <w:rFonts w:asciiTheme="majorBidi" w:hAnsiTheme="majorBidi" w:cstheme="majorBidi"/>
          <w:sz w:val="24"/>
          <w:szCs w:val="24"/>
        </w:rPr>
        <w:t>with mortality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D0640" w:rsidRPr="00915158">
        <w:rPr>
          <w:rFonts w:asciiTheme="majorBidi" w:hAnsiTheme="majorBidi" w:cstheme="majorBidi"/>
          <w:sz w:val="24"/>
          <w:szCs w:val="24"/>
        </w:rPr>
        <w:t xml:space="preserve">among patients </w:t>
      </w:r>
      <w:r w:rsidR="00DD642B" w:rsidRPr="00915158">
        <w:rPr>
          <w:rFonts w:asciiTheme="majorBidi" w:hAnsiTheme="majorBidi" w:cstheme="majorBidi"/>
          <w:sz w:val="24"/>
          <w:szCs w:val="24"/>
        </w:rPr>
        <w:t>hospitalized due to</w:t>
      </w:r>
      <w:r w:rsidR="00FD0640" w:rsidRPr="00915158">
        <w:rPr>
          <w:rFonts w:asciiTheme="majorBidi" w:hAnsiTheme="majorBidi" w:cstheme="majorBidi"/>
          <w:sz w:val="24"/>
          <w:szCs w:val="24"/>
        </w:rPr>
        <w:t xml:space="preserve"> COVID</w:t>
      </w:r>
      <w:r w:rsidR="00FD0640" w:rsidRPr="00915158">
        <w:rPr>
          <w:rFonts w:ascii="Cambria Math" w:hAnsi="Cambria Math" w:cs="Cambria Math"/>
          <w:sz w:val="24"/>
          <w:szCs w:val="24"/>
        </w:rPr>
        <w:t>‐</w:t>
      </w:r>
      <w:r w:rsidR="00FD0640" w:rsidRPr="00915158">
        <w:rPr>
          <w:rFonts w:asciiTheme="majorBidi" w:hAnsiTheme="majorBidi" w:cstheme="majorBidi"/>
          <w:sz w:val="24"/>
          <w:szCs w:val="24"/>
        </w:rPr>
        <w:t>19.</w:t>
      </w:r>
    </w:p>
    <w:p w:rsid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15158" w:rsidRDefault="00FD0640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Methods:</w:t>
      </w:r>
    </w:p>
    <w:p w:rsidR="00082ED0" w:rsidRPr="004B718C" w:rsidRDefault="00082ED0" w:rsidP="004B718C">
      <w:pPr>
        <w:spacing w:after="0" w:line="276" w:lineRule="auto"/>
        <w:contextualSpacing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We </w:t>
      </w:r>
      <w:r w:rsidR="00E7300A" w:rsidRPr="00915158">
        <w:rPr>
          <w:rFonts w:asciiTheme="majorBidi" w:hAnsiTheme="majorBidi" w:cstheme="majorBidi"/>
          <w:sz w:val="24"/>
          <w:szCs w:val="24"/>
        </w:rPr>
        <w:t>conducted a retrospective study</w:t>
      </w:r>
      <w:r w:rsidR="00692A27" w:rsidRPr="00915158">
        <w:rPr>
          <w:rFonts w:asciiTheme="majorBidi" w:hAnsiTheme="majorBidi" w:cstheme="majorBidi"/>
          <w:sz w:val="24"/>
          <w:szCs w:val="24"/>
        </w:rPr>
        <w:t>, from 20 February to 20 April 2020,</w:t>
      </w:r>
      <w:r w:rsidR="00E7300A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692A27" w:rsidRPr="00915158">
        <w:rPr>
          <w:rFonts w:asciiTheme="majorBidi" w:hAnsiTheme="majorBidi" w:cstheme="majorBidi"/>
          <w:sz w:val="24"/>
          <w:szCs w:val="24"/>
        </w:rPr>
        <w:t>on</w:t>
      </w:r>
      <w:r w:rsidR="006423F8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CD3A81">
        <w:rPr>
          <w:rFonts w:asciiTheme="majorBidi" w:hAnsiTheme="majorBidi" w:cstheme="majorBidi"/>
          <w:sz w:val="24"/>
          <w:szCs w:val="24"/>
        </w:rPr>
        <w:t>225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D0640" w:rsidRPr="00915158">
        <w:rPr>
          <w:rFonts w:asciiTheme="majorBidi" w:hAnsiTheme="majorBidi" w:cstheme="majorBidi"/>
          <w:sz w:val="24"/>
          <w:szCs w:val="24"/>
        </w:rPr>
        <w:t xml:space="preserve">consecutive </w:t>
      </w:r>
      <w:r w:rsidRPr="00915158">
        <w:rPr>
          <w:rFonts w:asciiTheme="majorBidi" w:hAnsiTheme="majorBidi" w:cstheme="majorBidi"/>
          <w:sz w:val="24"/>
          <w:szCs w:val="24"/>
        </w:rPr>
        <w:t xml:space="preserve">patients with </w:t>
      </w:r>
      <w:r w:rsidR="00E7300A" w:rsidRPr="00915158">
        <w:rPr>
          <w:rFonts w:asciiTheme="majorBidi" w:hAnsiTheme="majorBidi" w:cstheme="majorBidi"/>
          <w:sz w:val="24"/>
          <w:szCs w:val="24"/>
        </w:rPr>
        <w:t xml:space="preserve">RT-PCR </w:t>
      </w:r>
      <w:r w:rsidR="00CB4944" w:rsidRPr="00915158">
        <w:rPr>
          <w:rFonts w:asciiTheme="majorBidi" w:hAnsiTheme="majorBidi" w:cstheme="majorBidi"/>
          <w:sz w:val="24"/>
          <w:szCs w:val="24"/>
        </w:rPr>
        <w:t>confirmed</w:t>
      </w:r>
      <w:r w:rsidR="00E7300A" w:rsidRPr="00915158">
        <w:rPr>
          <w:rFonts w:asciiTheme="majorBidi" w:hAnsiTheme="majorBidi" w:cstheme="majorBidi"/>
          <w:sz w:val="24"/>
          <w:szCs w:val="24"/>
        </w:rPr>
        <w:t xml:space="preserve"> infection of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E7300A" w:rsidRPr="00915158">
        <w:rPr>
          <w:rFonts w:asciiTheme="majorBidi" w:hAnsiTheme="majorBidi" w:cstheme="majorBidi"/>
          <w:sz w:val="24"/>
          <w:szCs w:val="24"/>
        </w:rPr>
        <w:t>SARS-CoV-2</w:t>
      </w:r>
      <w:r w:rsidRPr="00915158">
        <w:rPr>
          <w:rFonts w:asciiTheme="majorBidi" w:hAnsiTheme="majorBidi" w:cstheme="majorBidi"/>
          <w:sz w:val="24"/>
          <w:szCs w:val="24"/>
        </w:rPr>
        <w:t>,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D0640" w:rsidRPr="00915158">
        <w:rPr>
          <w:rFonts w:asciiTheme="majorBidi" w:hAnsiTheme="majorBidi" w:cstheme="majorBidi"/>
          <w:sz w:val="24"/>
          <w:szCs w:val="24"/>
        </w:rPr>
        <w:t>admitted in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 Shariati hospital, </w:t>
      </w:r>
      <w:r w:rsidR="006423F8" w:rsidRPr="00915158">
        <w:rPr>
          <w:rFonts w:asciiTheme="majorBidi" w:hAnsiTheme="majorBidi" w:cstheme="majorBidi"/>
          <w:sz w:val="24"/>
          <w:szCs w:val="24"/>
        </w:rPr>
        <w:t>which is a tertiary care un</w:t>
      </w:r>
      <w:r w:rsidR="00692A27" w:rsidRPr="00915158">
        <w:rPr>
          <w:rFonts w:asciiTheme="majorBidi" w:hAnsiTheme="majorBidi" w:cstheme="majorBidi"/>
          <w:sz w:val="24"/>
          <w:szCs w:val="24"/>
        </w:rPr>
        <w:t>iversity hospital, Tehran, Iran</w:t>
      </w:r>
      <w:r w:rsidRPr="00915158">
        <w:rPr>
          <w:rFonts w:asciiTheme="majorBidi" w:hAnsiTheme="majorBidi" w:cstheme="majorBidi"/>
          <w:sz w:val="24"/>
          <w:szCs w:val="24"/>
        </w:rPr>
        <w:t xml:space="preserve">. 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Case data </w:t>
      </w:r>
      <w:r w:rsidR="00D7663B" w:rsidRPr="00915158">
        <w:rPr>
          <w:rFonts w:asciiTheme="majorBidi" w:hAnsiTheme="majorBidi" w:cstheme="majorBidi"/>
          <w:sz w:val="24"/>
          <w:szCs w:val="24"/>
        </w:rPr>
        <w:t>comprised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 demographics, </w:t>
      </w:r>
      <w:r w:rsidR="004B718C" w:rsidRPr="00915158">
        <w:rPr>
          <w:rFonts w:asciiTheme="majorBidi" w:hAnsiTheme="majorBidi" w:cstheme="majorBidi"/>
          <w:sz w:val="24"/>
          <w:szCs w:val="24"/>
        </w:rPr>
        <w:t>chest computed tomography (CT) findings</w:t>
      </w:r>
      <w:r w:rsidR="004B718C">
        <w:rPr>
          <w:rFonts w:asciiTheme="majorBidi" w:hAnsiTheme="majorBidi" w:cstheme="majorBidi"/>
          <w:sz w:val="24"/>
          <w:szCs w:val="24"/>
        </w:rPr>
        <w:t xml:space="preserve">, 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laboratory </w:t>
      </w:r>
      <w:r w:rsidR="00D7663B" w:rsidRPr="00915158">
        <w:rPr>
          <w:rFonts w:asciiTheme="majorBidi" w:hAnsiTheme="majorBidi" w:cstheme="majorBidi"/>
          <w:sz w:val="24"/>
          <w:szCs w:val="24"/>
        </w:rPr>
        <w:t>diagnostics including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CE55E2" w:rsidRPr="00915158">
        <w:rPr>
          <w:rFonts w:asciiTheme="majorBidi" w:hAnsiTheme="majorBidi" w:cstheme="majorBidi"/>
          <w:sz w:val="24"/>
          <w:szCs w:val="24"/>
        </w:rPr>
        <w:t xml:space="preserve">complete blood count (CBC) parameters 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and also </w:t>
      </w:r>
      <w:r w:rsidR="00D7663B" w:rsidRPr="00915158">
        <w:rPr>
          <w:rFonts w:asciiTheme="majorBidi" w:hAnsiTheme="majorBidi" w:cstheme="majorBidi"/>
          <w:sz w:val="24"/>
          <w:szCs w:val="24"/>
        </w:rPr>
        <w:t>laboratory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 markers related to hematologic complications as </w:t>
      </w:r>
      <w:r w:rsidR="004B718C">
        <w:rPr>
          <w:rFonts w:asciiTheme="majorBidi" w:hAnsiTheme="majorBidi" w:cstheme="majorBidi"/>
          <w:sz w:val="24"/>
          <w:szCs w:val="24"/>
        </w:rPr>
        <w:t>lactic acid d</w:t>
      </w:r>
      <w:r w:rsidR="004B718C" w:rsidRPr="004B718C">
        <w:rPr>
          <w:rFonts w:asciiTheme="majorBidi" w:hAnsiTheme="majorBidi" w:cstheme="majorBidi"/>
          <w:sz w:val="24"/>
          <w:szCs w:val="24"/>
        </w:rPr>
        <w:t>ehydrogenase (LDH)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, ferritin, fibrinogen, </w:t>
      </w:r>
      <w:r w:rsidR="004B718C" w:rsidRPr="004B718C">
        <w:rPr>
          <w:rFonts w:asciiTheme="majorBidi" w:hAnsiTheme="majorBidi" w:cstheme="majorBidi"/>
          <w:sz w:val="24"/>
          <w:szCs w:val="24"/>
        </w:rPr>
        <w:t xml:space="preserve">prothrombin time </w:t>
      </w:r>
      <w:r w:rsidR="004B718C">
        <w:rPr>
          <w:rFonts w:asciiTheme="majorBidi" w:hAnsiTheme="majorBidi" w:cstheme="majorBidi"/>
          <w:sz w:val="24"/>
          <w:szCs w:val="24"/>
        </w:rPr>
        <w:t>(</w:t>
      </w:r>
      <w:r w:rsidR="007312F6" w:rsidRPr="00915158">
        <w:rPr>
          <w:rFonts w:asciiTheme="majorBidi" w:hAnsiTheme="majorBidi" w:cstheme="majorBidi"/>
          <w:sz w:val="24"/>
          <w:szCs w:val="24"/>
        </w:rPr>
        <w:t>PT</w:t>
      </w:r>
      <w:r w:rsidR="004B718C">
        <w:rPr>
          <w:rFonts w:asciiTheme="majorBidi" w:hAnsiTheme="majorBidi" w:cstheme="majorBidi"/>
          <w:sz w:val="24"/>
          <w:szCs w:val="24"/>
        </w:rPr>
        <w:t>)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="004B718C" w:rsidRPr="004B718C">
        <w:rPr>
          <w:rFonts w:asciiTheme="majorBidi" w:hAnsiTheme="majorBidi" w:cstheme="majorBidi"/>
          <w:sz w:val="24"/>
          <w:szCs w:val="24"/>
        </w:rPr>
        <w:t>partial thromboplastin time (PTT</w:t>
      </w:r>
      <w:r w:rsidR="004B718C">
        <w:rPr>
          <w:rFonts w:asciiTheme="majorBidi" w:hAnsiTheme="majorBidi" w:cstheme="majorBidi"/>
          <w:sz w:val="24"/>
          <w:szCs w:val="24"/>
        </w:rPr>
        <w:t>)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="004B718C" w:rsidRPr="004B718C">
        <w:rPr>
          <w:rFonts w:asciiTheme="majorBidi" w:hAnsiTheme="majorBidi" w:cstheme="majorBidi"/>
          <w:sz w:val="24"/>
          <w:szCs w:val="24"/>
        </w:rPr>
        <w:t>fibrin degradation product (FDP)</w:t>
      </w:r>
      <w:r w:rsidR="007312F6" w:rsidRPr="00915158">
        <w:rPr>
          <w:rFonts w:asciiTheme="majorBidi" w:hAnsiTheme="majorBidi" w:cstheme="majorBidi"/>
          <w:sz w:val="24"/>
          <w:szCs w:val="24"/>
        </w:rPr>
        <w:t xml:space="preserve">, D dimer, together with </w:t>
      </w:r>
      <w:r w:rsidR="00D7663B" w:rsidRPr="00915158">
        <w:rPr>
          <w:rFonts w:asciiTheme="majorBidi" w:hAnsiTheme="majorBidi" w:cstheme="majorBidi"/>
          <w:sz w:val="24"/>
          <w:szCs w:val="24"/>
        </w:rPr>
        <w:t xml:space="preserve">acute </w:t>
      </w:r>
      <w:r w:rsidR="00341BD9" w:rsidRPr="00915158">
        <w:rPr>
          <w:rFonts w:asciiTheme="majorBidi" w:hAnsiTheme="majorBidi" w:cstheme="majorBidi"/>
          <w:sz w:val="24"/>
          <w:szCs w:val="24"/>
        </w:rPr>
        <w:t>inflammatory markers as erythrocyte sedimentation rate (ESR), C-reactive protein (CRP), and procalcitonin</w:t>
      </w:r>
      <w:r w:rsidR="00692A27" w:rsidRPr="00915158">
        <w:rPr>
          <w:rFonts w:asciiTheme="majorBidi" w:hAnsiTheme="majorBidi" w:cstheme="majorBidi"/>
          <w:sz w:val="24"/>
          <w:szCs w:val="24"/>
        </w:rPr>
        <w:t xml:space="preserve">, and </w:t>
      </w:r>
      <w:r w:rsidR="004B718C">
        <w:rPr>
          <w:rFonts w:asciiTheme="majorBidi" w:hAnsiTheme="majorBidi" w:cstheme="majorBidi"/>
          <w:sz w:val="24"/>
          <w:szCs w:val="24"/>
        </w:rPr>
        <w:t xml:space="preserve">finally </w:t>
      </w:r>
      <w:r w:rsidR="00692A27" w:rsidRPr="00915158">
        <w:rPr>
          <w:rFonts w:asciiTheme="majorBidi" w:hAnsiTheme="majorBidi" w:cstheme="majorBidi"/>
          <w:sz w:val="24"/>
          <w:szCs w:val="24"/>
        </w:rPr>
        <w:t>outcomes.</w:t>
      </w:r>
    </w:p>
    <w:p w:rsidR="001017B9" w:rsidRPr="00915158" w:rsidRDefault="00082ED0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The study was approved by the ethics committee of </w:t>
      </w:r>
      <w:r w:rsidR="001017B9" w:rsidRPr="00915158">
        <w:rPr>
          <w:rFonts w:asciiTheme="majorBidi" w:hAnsiTheme="majorBidi" w:cstheme="majorBidi"/>
          <w:sz w:val="24"/>
          <w:szCs w:val="24"/>
        </w:rPr>
        <w:t>Tehran</w:t>
      </w:r>
      <w:r w:rsidRPr="00915158">
        <w:rPr>
          <w:rFonts w:asciiTheme="majorBidi" w:hAnsiTheme="majorBidi" w:cstheme="majorBidi"/>
          <w:sz w:val="24"/>
          <w:szCs w:val="24"/>
        </w:rPr>
        <w:t xml:space="preserve"> University </w:t>
      </w:r>
      <w:r w:rsidR="001017B9" w:rsidRPr="00915158">
        <w:rPr>
          <w:rFonts w:asciiTheme="majorBidi" w:hAnsiTheme="majorBidi" w:cstheme="majorBidi"/>
          <w:sz w:val="24"/>
          <w:szCs w:val="24"/>
        </w:rPr>
        <w:t xml:space="preserve">of Medical Sciences </w:t>
      </w:r>
      <w:r w:rsidRPr="00915158">
        <w:rPr>
          <w:rFonts w:asciiTheme="majorBidi" w:hAnsiTheme="majorBidi" w:cstheme="majorBidi"/>
          <w:sz w:val="24"/>
          <w:szCs w:val="24"/>
        </w:rPr>
        <w:t>(</w:t>
      </w:r>
      <w:r w:rsidR="002A0569" w:rsidRPr="00915158">
        <w:rPr>
          <w:rFonts w:asciiTheme="majorBidi" w:hAnsiTheme="majorBidi" w:cstheme="majorBidi"/>
          <w:sz w:val="24"/>
          <w:szCs w:val="24"/>
        </w:rPr>
        <w:t>code: IR.TUMS.VCR.REC.1399.281</w:t>
      </w:r>
      <w:r w:rsidRPr="00915158">
        <w:rPr>
          <w:rFonts w:asciiTheme="majorBidi" w:hAnsiTheme="majorBidi" w:cstheme="majorBidi"/>
          <w:sz w:val="24"/>
          <w:szCs w:val="24"/>
        </w:rPr>
        <w:t xml:space="preserve">). </w:t>
      </w:r>
    </w:p>
    <w:p w:rsidR="004B718C" w:rsidRDefault="001017B9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Categorical data were described as percentages and continuous data as </w:t>
      </w:r>
      <w:r w:rsidR="00281439" w:rsidRPr="00915158">
        <w:rPr>
          <w:rFonts w:asciiTheme="majorBidi" w:hAnsiTheme="majorBidi" w:cstheme="majorBidi"/>
          <w:sz w:val="24"/>
          <w:szCs w:val="24"/>
        </w:rPr>
        <w:t>means (SDs)</w:t>
      </w:r>
      <w:r w:rsidRPr="00915158">
        <w:rPr>
          <w:rFonts w:asciiTheme="majorBidi" w:hAnsiTheme="majorBidi" w:cstheme="majorBidi"/>
          <w:sz w:val="24"/>
          <w:szCs w:val="24"/>
        </w:rPr>
        <w:t>. All statistical analyses were performed using SPSS Statistics version 2</w:t>
      </w:r>
      <w:r w:rsidR="00281439" w:rsidRPr="00915158">
        <w:rPr>
          <w:rFonts w:asciiTheme="majorBidi" w:hAnsiTheme="majorBidi" w:cstheme="majorBidi"/>
          <w:sz w:val="24"/>
          <w:szCs w:val="24"/>
        </w:rPr>
        <w:t>6</w:t>
      </w:r>
      <w:r w:rsidRPr="00915158">
        <w:rPr>
          <w:rFonts w:asciiTheme="majorBidi" w:hAnsiTheme="majorBidi" w:cstheme="majorBidi"/>
          <w:sz w:val="24"/>
          <w:szCs w:val="24"/>
        </w:rPr>
        <w:t xml:space="preserve">.0 software. P &lt; </w:t>
      </w:r>
      <w:r w:rsidR="006D44AD" w:rsidRPr="00915158">
        <w:rPr>
          <w:rFonts w:asciiTheme="majorBidi" w:hAnsiTheme="majorBidi" w:cstheme="majorBidi"/>
          <w:sz w:val="24"/>
          <w:szCs w:val="24"/>
        </w:rPr>
        <w:t>0</w:t>
      </w:r>
      <w:r w:rsidRPr="00915158">
        <w:rPr>
          <w:rFonts w:asciiTheme="majorBidi" w:hAnsiTheme="majorBidi" w:cstheme="majorBidi"/>
          <w:sz w:val="24"/>
          <w:szCs w:val="24"/>
        </w:rPr>
        <w:t xml:space="preserve">.05 was considered </w:t>
      </w:r>
      <w:r w:rsidRPr="00915158">
        <w:rPr>
          <w:rFonts w:asciiTheme="majorBidi" w:hAnsiTheme="majorBidi" w:cstheme="majorBidi"/>
          <w:sz w:val="24"/>
          <w:szCs w:val="24"/>
        </w:rPr>
        <w:lastRenderedPageBreak/>
        <w:t>statistically significant.</w:t>
      </w:r>
      <w:r w:rsidRPr="00915158">
        <w:rPr>
          <w:rFonts w:asciiTheme="majorBidi" w:hAnsiTheme="majorBidi" w:cstheme="majorBidi"/>
          <w:sz w:val="24"/>
          <w:szCs w:val="24"/>
        </w:rPr>
        <w:cr/>
      </w:r>
    </w:p>
    <w:p w:rsidR="001017B9" w:rsidRPr="00915158" w:rsidRDefault="001017B9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Results:</w:t>
      </w:r>
    </w:p>
    <w:p w:rsidR="005A4023" w:rsidRPr="00915158" w:rsidRDefault="005A4023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915158">
        <w:rPr>
          <w:rFonts w:asciiTheme="majorBidi" w:hAnsiTheme="majorBidi" w:cstheme="majorBidi"/>
          <w:sz w:val="24"/>
          <w:szCs w:val="24"/>
          <w:u w:val="single"/>
        </w:rPr>
        <w:t>Demographics</w:t>
      </w:r>
    </w:p>
    <w:p w:rsidR="00B02FE6" w:rsidRPr="00915158" w:rsidRDefault="00D01BCF" w:rsidP="00A96A10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Among a total of 225 patients, </w:t>
      </w:r>
      <w:r w:rsidR="00F103F8" w:rsidRPr="00915158">
        <w:rPr>
          <w:rFonts w:asciiTheme="majorBidi" w:hAnsiTheme="majorBidi" w:cstheme="majorBidi"/>
          <w:sz w:val="24"/>
          <w:szCs w:val="24"/>
        </w:rPr>
        <w:t xml:space="preserve">170 (75.6%) had survived and 55 cases (24.4%) </w:t>
      </w:r>
      <w:r w:rsidR="00F80A52">
        <w:rPr>
          <w:rFonts w:asciiTheme="majorBidi" w:hAnsiTheme="majorBidi" w:cstheme="majorBidi"/>
          <w:sz w:val="24"/>
          <w:szCs w:val="24"/>
        </w:rPr>
        <w:t>experienced in-hospital demise</w:t>
      </w:r>
      <w:r w:rsidR="00F103F8" w:rsidRPr="00915158">
        <w:rPr>
          <w:rFonts w:asciiTheme="majorBidi" w:hAnsiTheme="majorBidi" w:cstheme="majorBidi"/>
          <w:sz w:val="24"/>
          <w:szCs w:val="24"/>
        </w:rPr>
        <w:t xml:space="preserve">. </w:t>
      </w:r>
      <w:r w:rsidR="000E0D3C" w:rsidRPr="00915158">
        <w:rPr>
          <w:rFonts w:asciiTheme="majorBidi" w:hAnsiTheme="majorBidi" w:cstheme="majorBidi"/>
          <w:sz w:val="24"/>
          <w:szCs w:val="24"/>
        </w:rPr>
        <w:t xml:space="preserve">The median age </w:t>
      </w:r>
      <w:r w:rsidR="00F80A52">
        <w:rPr>
          <w:rFonts w:asciiTheme="majorBidi" w:hAnsiTheme="majorBidi" w:cstheme="majorBidi"/>
          <w:sz w:val="24"/>
          <w:szCs w:val="24"/>
        </w:rPr>
        <w:t xml:space="preserve">of patients </w:t>
      </w:r>
      <w:r w:rsidR="000E0D3C" w:rsidRPr="00915158">
        <w:rPr>
          <w:rFonts w:asciiTheme="majorBidi" w:hAnsiTheme="majorBidi" w:cstheme="majorBidi"/>
          <w:sz w:val="24"/>
          <w:szCs w:val="24"/>
        </w:rPr>
        <w:t>was 60 years (range, 19-96), and 13</w:t>
      </w:r>
      <w:r w:rsidR="00F103F8" w:rsidRPr="00915158">
        <w:rPr>
          <w:rFonts w:asciiTheme="majorBidi" w:hAnsiTheme="majorBidi" w:cstheme="majorBidi"/>
          <w:sz w:val="24"/>
          <w:szCs w:val="24"/>
        </w:rPr>
        <w:t>0</w:t>
      </w:r>
      <w:r w:rsidR="008C42A7" w:rsidRPr="00915158">
        <w:rPr>
          <w:rFonts w:asciiTheme="majorBidi" w:hAnsiTheme="majorBidi" w:cstheme="majorBidi"/>
          <w:sz w:val="24"/>
          <w:szCs w:val="24"/>
        </w:rPr>
        <w:t xml:space="preserve"> patients</w:t>
      </w:r>
      <w:r w:rsidR="000E0D3C" w:rsidRPr="00915158">
        <w:rPr>
          <w:rFonts w:asciiTheme="majorBidi" w:hAnsiTheme="majorBidi" w:cstheme="majorBidi"/>
          <w:sz w:val="24"/>
          <w:szCs w:val="24"/>
        </w:rPr>
        <w:t xml:space="preserve"> (5</w:t>
      </w:r>
      <w:r w:rsidR="008C42A7" w:rsidRPr="00915158">
        <w:rPr>
          <w:rFonts w:asciiTheme="majorBidi" w:hAnsiTheme="majorBidi" w:cstheme="majorBidi"/>
          <w:sz w:val="24"/>
          <w:szCs w:val="24"/>
        </w:rPr>
        <w:t>7</w:t>
      </w:r>
      <w:r w:rsidR="00F103F8" w:rsidRPr="00915158">
        <w:rPr>
          <w:rFonts w:asciiTheme="majorBidi" w:hAnsiTheme="majorBidi" w:cstheme="majorBidi"/>
          <w:sz w:val="24"/>
          <w:szCs w:val="24"/>
        </w:rPr>
        <w:t>.8</w:t>
      </w:r>
      <w:r w:rsidR="008C42A7" w:rsidRPr="00915158">
        <w:rPr>
          <w:rFonts w:asciiTheme="majorBidi" w:hAnsiTheme="majorBidi" w:cstheme="majorBidi"/>
          <w:sz w:val="24"/>
          <w:szCs w:val="24"/>
        </w:rPr>
        <w:t xml:space="preserve">%) were male. </w:t>
      </w:r>
      <w:r w:rsidRPr="00915158">
        <w:rPr>
          <w:rFonts w:asciiTheme="majorBidi" w:hAnsiTheme="majorBidi" w:cstheme="majorBidi"/>
          <w:sz w:val="24"/>
          <w:szCs w:val="24"/>
        </w:rPr>
        <w:t>T</w:t>
      </w:r>
      <w:r w:rsidR="00F103F8" w:rsidRPr="00915158">
        <w:rPr>
          <w:rFonts w:asciiTheme="majorBidi" w:hAnsiTheme="majorBidi" w:cstheme="majorBidi"/>
          <w:sz w:val="24"/>
          <w:szCs w:val="24"/>
        </w:rPr>
        <w:t>h</w:t>
      </w:r>
      <w:r w:rsidRPr="00915158">
        <w:rPr>
          <w:rFonts w:asciiTheme="majorBidi" w:hAnsiTheme="majorBidi" w:cstheme="majorBidi"/>
          <w:sz w:val="24"/>
          <w:szCs w:val="24"/>
        </w:rPr>
        <w:t xml:space="preserve">ere was </w:t>
      </w:r>
      <w:r w:rsidR="00F103F8" w:rsidRPr="00915158">
        <w:rPr>
          <w:rFonts w:asciiTheme="majorBidi" w:hAnsiTheme="majorBidi" w:cstheme="majorBidi"/>
          <w:sz w:val="24"/>
          <w:szCs w:val="24"/>
        </w:rPr>
        <w:t>no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103F8" w:rsidRPr="00915158">
        <w:rPr>
          <w:rFonts w:asciiTheme="majorBidi" w:hAnsiTheme="majorBidi" w:cstheme="majorBidi"/>
          <w:sz w:val="24"/>
          <w:szCs w:val="24"/>
        </w:rPr>
        <w:t>significant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103F8" w:rsidRPr="00915158">
        <w:rPr>
          <w:rFonts w:asciiTheme="majorBidi" w:hAnsiTheme="majorBidi" w:cstheme="majorBidi"/>
          <w:sz w:val="24"/>
          <w:szCs w:val="24"/>
        </w:rPr>
        <w:t>difference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E631AB" w:rsidRPr="00915158">
        <w:rPr>
          <w:rFonts w:asciiTheme="majorBidi" w:hAnsiTheme="majorBidi" w:cstheme="majorBidi"/>
          <w:sz w:val="24"/>
          <w:szCs w:val="24"/>
        </w:rPr>
        <w:t>between</w:t>
      </w:r>
      <w:r w:rsidR="00F103F8" w:rsidRPr="00915158">
        <w:rPr>
          <w:rFonts w:asciiTheme="majorBidi" w:hAnsiTheme="majorBidi" w:cstheme="majorBidi"/>
          <w:sz w:val="24"/>
          <w:szCs w:val="24"/>
        </w:rPr>
        <w:t xml:space="preserve"> the </w:t>
      </w:r>
      <w:r w:rsidR="004C2A0F" w:rsidRPr="00915158">
        <w:rPr>
          <w:rFonts w:asciiTheme="majorBidi" w:hAnsiTheme="majorBidi" w:cstheme="majorBidi"/>
          <w:sz w:val="24"/>
          <w:szCs w:val="24"/>
        </w:rPr>
        <w:t>male to female ratio in</w:t>
      </w:r>
      <w:r w:rsidR="00F103F8" w:rsidRPr="00915158">
        <w:rPr>
          <w:rFonts w:asciiTheme="majorBidi" w:hAnsiTheme="majorBidi" w:cstheme="majorBidi"/>
          <w:sz w:val="24"/>
          <w:szCs w:val="24"/>
        </w:rPr>
        <w:t xml:space="preserve"> survivors and non-survivors</w:t>
      </w:r>
      <w:r w:rsidR="004C2A0F" w:rsidRPr="00915158">
        <w:rPr>
          <w:rFonts w:asciiTheme="majorBidi" w:hAnsiTheme="majorBidi" w:cstheme="majorBidi"/>
          <w:sz w:val="24"/>
          <w:szCs w:val="24"/>
        </w:rPr>
        <w:t xml:space="preserve"> (97/73 vs 33/22, respectively, P=0.75)</w:t>
      </w:r>
      <w:r w:rsidR="00F103F8" w:rsidRPr="00915158">
        <w:rPr>
          <w:rFonts w:asciiTheme="majorBidi" w:hAnsiTheme="majorBidi" w:cstheme="majorBidi"/>
          <w:sz w:val="24"/>
          <w:szCs w:val="24"/>
        </w:rPr>
        <w:t>.</w:t>
      </w:r>
      <w:r w:rsidR="00E631AB" w:rsidRPr="00915158">
        <w:rPr>
          <w:rFonts w:asciiTheme="majorBidi" w:hAnsiTheme="majorBidi" w:cstheme="majorBidi"/>
          <w:sz w:val="24"/>
          <w:szCs w:val="24"/>
        </w:rPr>
        <w:t xml:space="preserve"> However, the mean age in the non-survivors was significantly higher than </w:t>
      </w:r>
      <w:r w:rsidR="00CE579F" w:rsidRPr="00915158">
        <w:rPr>
          <w:rFonts w:asciiTheme="majorBidi" w:hAnsiTheme="majorBidi" w:cstheme="majorBidi"/>
          <w:sz w:val="24"/>
          <w:szCs w:val="24"/>
        </w:rPr>
        <w:t>the m</w:t>
      </w:r>
      <w:r w:rsidR="00E419AB" w:rsidRPr="00915158">
        <w:rPr>
          <w:rFonts w:asciiTheme="majorBidi" w:hAnsiTheme="majorBidi" w:cstheme="majorBidi"/>
          <w:sz w:val="24"/>
          <w:szCs w:val="24"/>
        </w:rPr>
        <w:t>ean age of the survivors</w:t>
      </w:r>
      <w:r w:rsidR="0005043C" w:rsidRPr="00915158">
        <w:rPr>
          <w:rFonts w:asciiTheme="majorBidi" w:hAnsiTheme="majorBidi" w:cstheme="majorBidi"/>
          <w:sz w:val="24"/>
          <w:szCs w:val="24"/>
        </w:rPr>
        <w:t xml:space="preserve"> (</w:t>
      </w:r>
      <w:r w:rsidR="00A96A10">
        <w:rPr>
          <w:rFonts w:asciiTheme="majorBidi" w:hAnsiTheme="majorBidi" w:cstheme="majorBidi"/>
          <w:sz w:val="24"/>
          <w:szCs w:val="24"/>
        </w:rPr>
        <w:t xml:space="preserve">67.07±14.56 vs </w:t>
      </w:r>
      <w:r w:rsidR="0005043C" w:rsidRPr="00915158">
        <w:rPr>
          <w:rFonts w:asciiTheme="majorBidi" w:hAnsiTheme="majorBidi" w:cstheme="majorBidi"/>
          <w:sz w:val="24"/>
          <w:szCs w:val="24"/>
        </w:rPr>
        <w:t>57.91±16.66</w:t>
      </w:r>
      <w:r w:rsidR="00F80A52">
        <w:rPr>
          <w:rFonts w:asciiTheme="majorBidi" w:hAnsiTheme="majorBidi" w:cstheme="majorBidi"/>
          <w:sz w:val="24"/>
          <w:szCs w:val="24"/>
        </w:rPr>
        <w:t>, respectively, P&lt;</w:t>
      </w:r>
      <w:r w:rsidR="0005043C" w:rsidRPr="00915158">
        <w:rPr>
          <w:rFonts w:asciiTheme="majorBidi" w:hAnsiTheme="majorBidi" w:cstheme="majorBidi"/>
          <w:sz w:val="24"/>
          <w:szCs w:val="24"/>
        </w:rPr>
        <w:t>0.00</w:t>
      </w:r>
      <w:r w:rsidR="00F80A52">
        <w:rPr>
          <w:rFonts w:asciiTheme="majorBidi" w:hAnsiTheme="majorBidi" w:cstheme="majorBidi"/>
          <w:sz w:val="24"/>
          <w:szCs w:val="24"/>
        </w:rPr>
        <w:t>1</w:t>
      </w:r>
      <w:r w:rsidR="0005043C" w:rsidRPr="00915158">
        <w:rPr>
          <w:rFonts w:asciiTheme="majorBidi" w:hAnsiTheme="majorBidi" w:cstheme="majorBidi"/>
          <w:sz w:val="24"/>
          <w:szCs w:val="24"/>
        </w:rPr>
        <w:t>)</w:t>
      </w:r>
      <w:r w:rsidR="00CE579F" w:rsidRPr="00915158">
        <w:rPr>
          <w:rFonts w:asciiTheme="majorBidi" w:hAnsiTheme="majorBidi" w:cstheme="majorBidi"/>
          <w:sz w:val="24"/>
          <w:szCs w:val="24"/>
        </w:rPr>
        <w:t>.</w:t>
      </w:r>
      <w:r w:rsidR="00E419AB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C12B30" w:rsidRPr="00915158">
        <w:rPr>
          <w:rFonts w:asciiTheme="majorBidi" w:hAnsiTheme="majorBidi" w:cstheme="majorBidi"/>
          <w:sz w:val="24"/>
          <w:szCs w:val="24"/>
        </w:rPr>
        <w:t xml:space="preserve">A total of 53 patients (23.6%) had a history of ICU admission during their hospitalization, </w:t>
      </w:r>
      <w:r w:rsidR="00571654">
        <w:rPr>
          <w:rFonts w:asciiTheme="majorBidi" w:hAnsiTheme="majorBidi" w:cstheme="majorBidi"/>
          <w:sz w:val="24"/>
          <w:szCs w:val="24"/>
        </w:rPr>
        <w:t xml:space="preserve">and </w:t>
      </w:r>
      <w:r w:rsidR="00C12B30" w:rsidRPr="00915158">
        <w:rPr>
          <w:rFonts w:asciiTheme="majorBidi" w:hAnsiTheme="majorBidi" w:cstheme="majorBidi"/>
          <w:sz w:val="24"/>
          <w:szCs w:val="24"/>
        </w:rPr>
        <w:t>as it was expected mortality was significantly mor</w:t>
      </w:r>
      <w:r w:rsidR="00571654">
        <w:rPr>
          <w:rFonts w:asciiTheme="majorBidi" w:hAnsiTheme="majorBidi" w:cstheme="majorBidi"/>
          <w:sz w:val="24"/>
          <w:szCs w:val="24"/>
        </w:rPr>
        <w:t>e frequent in these patients (P&lt;</w:t>
      </w:r>
      <w:r w:rsidR="00B02FE6" w:rsidRPr="00915158">
        <w:rPr>
          <w:rFonts w:asciiTheme="majorBidi" w:hAnsiTheme="majorBidi" w:cstheme="majorBidi"/>
          <w:sz w:val="24"/>
          <w:szCs w:val="24"/>
        </w:rPr>
        <w:t>0.00</w:t>
      </w:r>
      <w:r w:rsidR="00571654">
        <w:rPr>
          <w:rFonts w:asciiTheme="majorBidi" w:hAnsiTheme="majorBidi" w:cstheme="majorBidi"/>
          <w:sz w:val="24"/>
          <w:szCs w:val="24"/>
        </w:rPr>
        <w:t>1</w:t>
      </w:r>
      <w:r w:rsidR="00B02FE6" w:rsidRPr="00915158">
        <w:rPr>
          <w:rFonts w:asciiTheme="majorBidi" w:hAnsiTheme="majorBidi" w:cstheme="majorBidi"/>
          <w:sz w:val="24"/>
          <w:szCs w:val="24"/>
        </w:rPr>
        <w:t xml:space="preserve">). The median duration of hospitalization in all patients was 6 days (ranging from 1 to 45 days) and the mean duration of hospitalization </w:t>
      </w:r>
      <w:r w:rsidR="00571654">
        <w:rPr>
          <w:rFonts w:asciiTheme="majorBidi" w:hAnsiTheme="majorBidi" w:cstheme="majorBidi"/>
          <w:sz w:val="24"/>
          <w:szCs w:val="24"/>
        </w:rPr>
        <w:t>was significantly longer in non-</w:t>
      </w:r>
      <w:r w:rsidR="00B02FE6" w:rsidRPr="00915158">
        <w:rPr>
          <w:rFonts w:asciiTheme="majorBidi" w:hAnsiTheme="majorBidi" w:cstheme="majorBidi"/>
          <w:sz w:val="24"/>
          <w:szCs w:val="24"/>
        </w:rPr>
        <w:t>survivors than the patients in the survived group (10.71±1.3 vs 7.75±0.5, respectively, P=0.03)</w:t>
      </w:r>
      <w:r w:rsidR="005D65E9" w:rsidRPr="00915158">
        <w:rPr>
          <w:rFonts w:asciiTheme="majorBidi" w:hAnsiTheme="majorBidi" w:cstheme="majorBidi"/>
          <w:sz w:val="24"/>
          <w:szCs w:val="24"/>
        </w:rPr>
        <w:t>.</w:t>
      </w:r>
    </w:p>
    <w:p w:rsidR="005E6DD6" w:rsidRPr="00915158" w:rsidRDefault="00DB6C3A" w:rsidP="00571654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According to chest CT scan, </w:t>
      </w:r>
      <w:r w:rsidR="00796F36" w:rsidRPr="00915158">
        <w:rPr>
          <w:rFonts w:asciiTheme="majorBidi" w:hAnsiTheme="majorBidi" w:cstheme="majorBidi"/>
          <w:sz w:val="24"/>
          <w:szCs w:val="24"/>
        </w:rPr>
        <w:t>148</w:t>
      </w:r>
      <w:r w:rsidRPr="00915158">
        <w:rPr>
          <w:rFonts w:asciiTheme="majorBidi" w:hAnsiTheme="majorBidi" w:cstheme="majorBidi"/>
          <w:sz w:val="24"/>
          <w:szCs w:val="24"/>
        </w:rPr>
        <w:t xml:space="preserve"> patients</w:t>
      </w:r>
      <w:r w:rsidR="00796F36" w:rsidRPr="00915158">
        <w:rPr>
          <w:rFonts w:asciiTheme="majorBidi" w:hAnsiTheme="majorBidi" w:cstheme="majorBidi"/>
          <w:sz w:val="24"/>
          <w:szCs w:val="24"/>
        </w:rPr>
        <w:t xml:space="preserve"> (65.8</w:t>
      </w:r>
      <w:r w:rsidRPr="00915158">
        <w:rPr>
          <w:rFonts w:asciiTheme="majorBidi" w:hAnsiTheme="majorBidi" w:cstheme="majorBidi"/>
          <w:sz w:val="24"/>
          <w:szCs w:val="24"/>
        </w:rPr>
        <w:t xml:space="preserve">%) showed </w:t>
      </w:r>
      <w:r w:rsidR="005E6DD6" w:rsidRPr="00915158">
        <w:rPr>
          <w:rFonts w:asciiTheme="majorBidi" w:hAnsiTheme="majorBidi" w:cstheme="majorBidi"/>
          <w:sz w:val="24"/>
          <w:szCs w:val="24"/>
        </w:rPr>
        <w:t>highly suggestive findings</w:t>
      </w:r>
      <w:r w:rsidR="00796F36" w:rsidRPr="00915158">
        <w:rPr>
          <w:rFonts w:asciiTheme="majorBidi" w:hAnsiTheme="majorBidi" w:cstheme="majorBidi"/>
          <w:sz w:val="24"/>
          <w:szCs w:val="24"/>
        </w:rPr>
        <w:t xml:space="preserve"> or features in favor of COVID-19, but</w:t>
      </w:r>
      <w:r w:rsidR="005E6DD6" w:rsidRPr="00915158">
        <w:rPr>
          <w:rFonts w:asciiTheme="majorBidi" w:hAnsiTheme="majorBidi" w:cstheme="majorBidi"/>
          <w:sz w:val="24"/>
          <w:szCs w:val="24"/>
        </w:rPr>
        <w:t xml:space="preserve"> mortality was not significantly different between </w:t>
      </w:r>
      <w:r w:rsidR="00796F36" w:rsidRPr="00915158">
        <w:rPr>
          <w:rFonts w:asciiTheme="majorBidi" w:hAnsiTheme="majorBidi" w:cstheme="majorBidi"/>
          <w:sz w:val="24"/>
          <w:szCs w:val="24"/>
        </w:rPr>
        <w:t xml:space="preserve">these </w:t>
      </w:r>
      <w:r w:rsidR="005E6DD6" w:rsidRPr="00915158">
        <w:rPr>
          <w:rFonts w:asciiTheme="majorBidi" w:hAnsiTheme="majorBidi" w:cstheme="majorBidi"/>
          <w:sz w:val="24"/>
          <w:szCs w:val="24"/>
        </w:rPr>
        <w:t xml:space="preserve">patients and those who only had </w:t>
      </w:r>
      <w:r w:rsidR="00796F36" w:rsidRPr="00915158">
        <w:rPr>
          <w:rFonts w:asciiTheme="majorBidi" w:hAnsiTheme="majorBidi" w:cstheme="majorBidi"/>
          <w:sz w:val="24"/>
          <w:szCs w:val="24"/>
        </w:rPr>
        <w:t xml:space="preserve">radiologic </w:t>
      </w:r>
      <w:r w:rsidR="005E6DD6" w:rsidRPr="00915158">
        <w:rPr>
          <w:rFonts w:asciiTheme="majorBidi" w:hAnsiTheme="majorBidi" w:cstheme="majorBidi"/>
          <w:sz w:val="24"/>
          <w:szCs w:val="24"/>
        </w:rPr>
        <w:t xml:space="preserve">findings </w:t>
      </w:r>
      <w:r w:rsidR="00796F36" w:rsidRPr="00915158">
        <w:rPr>
          <w:rFonts w:asciiTheme="majorBidi" w:hAnsiTheme="majorBidi" w:cstheme="majorBidi"/>
          <w:sz w:val="24"/>
          <w:szCs w:val="24"/>
        </w:rPr>
        <w:t>with</w:t>
      </w:r>
      <w:r w:rsidR="00571654">
        <w:rPr>
          <w:rFonts w:asciiTheme="majorBidi" w:hAnsiTheme="majorBidi" w:cstheme="majorBidi"/>
          <w:sz w:val="24"/>
          <w:szCs w:val="24"/>
        </w:rPr>
        <w:t xml:space="preserve"> intermediate or</w:t>
      </w:r>
      <w:r w:rsidR="005E6DD6" w:rsidRPr="00915158">
        <w:rPr>
          <w:rFonts w:asciiTheme="majorBidi" w:hAnsiTheme="majorBidi" w:cstheme="majorBidi"/>
          <w:sz w:val="24"/>
          <w:szCs w:val="24"/>
        </w:rPr>
        <w:t xml:space="preserve"> low probability for COVID-19</w:t>
      </w:r>
      <w:r w:rsidR="00796F36" w:rsidRPr="00915158">
        <w:rPr>
          <w:rFonts w:asciiTheme="majorBidi" w:hAnsiTheme="majorBidi" w:cstheme="majorBidi"/>
          <w:sz w:val="24"/>
          <w:szCs w:val="24"/>
        </w:rPr>
        <w:t xml:space="preserve"> (P=0.253)</w:t>
      </w:r>
      <w:r w:rsidRPr="00915158">
        <w:rPr>
          <w:rFonts w:asciiTheme="majorBidi" w:hAnsiTheme="majorBidi" w:cstheme="majorBidi"/>
          <w:sz w:val="24"/>
          <w:szCs w:val="24"/>
        </w:rPr>
        <w:t xml:space="preserve">. </w:t>
      </w:r>
    </w:p>
    <w:p w:rsidR="00571654" w:rsidRDefault="005A4023" w:rsidP="00571654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915158">
        <w:rPr>
          <w:rFonts w:asciiTheme="majorBidi" w:hAnsiTheme="majorBidi" w:cstheme="majorBidi"/>
          <w:sz w:val="24"/>
          <w:szCs w:val="24"/>
          <w:u w:val="single"/>
        </w:rPr>
        <w:t>CBC parameters</w:t>
      </w:r>
    </w:p>
    <w:p w:rsidR="00B936FB" w:rsidRPr="00571654" w:rsidRDefault="00DB6C3A" w:rsidP="00571654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915158">
        <w:rPr>
          <w:rFonts w:asciiTheme="majorBidi" w:hAnsiTheme="majorBidi" w:cstheme="majorBidi"/>
          <w:sz w:val="24"/>
          <w:szCs w:val="24"/>
        </w:rPr>
        <w:t>In blood tests</w:t>
      </w:r>
      <w:r w:rsidR="004156F8" w:rsidRPr="00915158">
        <w:rPr>
          <w:rFonts w:asciiTheme="majorBidi" w:hAnsiTheme="majorBidi" w:cstheme="majorBidi"/>
          <w:sz w:val="24"/>
          <w:szCs w:val="24"/>
        </w:rPr>
        <w:t xml:space="preserve"> at the time of admission</w:t>
      </w:r>
      <w:r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="006445AD" w:rsidRPr="00915158">
        <w:rPr>
          <w:rFonts w:asciiTheme="majorBidi" w:hAnsiTheme="majorBidi" w:cstheme="majorBidi"/>
          <w:sz w:val="24"/>
          <w:szCs w:val="24"/>
        </w:rPr>
        <w:t>total leukocyte count (WBC)</w:t>
      </w:r>
      <w:r w:rsidRPr="00915158">
        <w:rPr>
          <w:rFonts w:asciiTheme="majorBidi" w:hAnsiTheme="majorBidi" w:cstheme="majorBidi"/>
          <w:sz w:val="24"/>
          <w:szCs w:val="24"/>
        </w:rPr>
        <w:t>,</w:t>
      </w:r>
      <w:r w:rsidR="00E96E12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6445AD" w:rsidRPr="00915158">
        <w:rPr>
          <w:rFonts w:asciiTheme="majorBidi" w:hAnsiTheme="majorBidi" w:cstheme="majorBidi"/>
          <w:sz w:val="24"/>
          <w:szCs w:val="24"/>
        </w:rPr>
        <w:t>absolute neutrophil count (ANC)</w:t>
      </w:r>
      <w:r w:rsidRPr="00915158">
        <w:rPr>
          <w:rFonts w:asciiTheme="majorBidi" w:hAnsiTheme="majorBidi" w:cstheme="majorBidi"/>
          <w:sz w:val="24"/>
          <w:szCs w:val="24"/>
        </w:rPr>
        <w:t>,</w:t>
      </w:r>
      <w:r w:rsidR="004156F8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5D225F" w:rsidRPr="00915158">
        <w:rPr>
          <w:rFonts w:asciiTheme="majorBidi" w:hAnsiTheme="majorBidi" w:cstheme="majorBidi"/>
          <w:sz w:val="24"/>
          <w:szCs w:val="24"/>
        </w:rPr>
        <w:t xml:space="preserve">and </w:t>
      </w:r>
      <w:r w:rsidR="006445AD" w:rsidRPr="00915158">
        <w:rPr>
          <w:rFonts w:asciiTheme="majorBidi" w:hAnsiTheme="majorBidi" w:cstheme="majorBidi"/>
          <w:sz w:val="24"/>
          <w:szCs w:val="24"/>
        </w:rPr>
        <w:t>absolute lymphocyte count (ALC)</w:t>
      </w:r>
      <w:r w:rsidR="004156F8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5D225F" w:rsidRPr="00915158">
        <w:rPr>
          <w:rFonts w:asciiTheme="majorBidi" w:hAnsiTheme="majorBidi" w:cstheme="majorBidi"/>
          <w:sz w:val="24"/>
          <w:szCs w:val="24"/>
        </w:rPr>
        <w:t>were within the normal range in 50.2%, 74.1%, and 44.6%, respectively. The normal laboratory reference values of WBC, ANC, and ALC were 4.8–10.8 (×10</w:t>
      </w:r>
      <w:r w:rsidR="005D225F" w:rsidRPr="00915158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="005D225F" w:rsidRPr="00915158">
        <w:rPr>
          <w:rFonts w:asciiTheme="majorBidi" w:hAnsiTheme="majorBidi" w:cstheme="majorBidi"/>
          <w:sz w:val="24"/>
          <w:szCs w:val="24"/>
        </w:rPr>
        <w:t>/L), 1.8–7.7 (×10</w:t>
      </w:r>
      <w:r w:rsidR="005D225F" w:rsidRPr="00915158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="005D225F" w:rsidRPr="00915158">
        <w:rPr>
          <w:rFonts w:asciiTheme="majorBidi" w:hAnsiTheme="majorBidi" w:cstheme="majorBidi"/>
          <w:sz w:val="24"/>
          <w:szCs w:val="24"/>
        </w:rPr>
        <w:t>/L), and 1.0–4.8 (×10</w:t>
      </w:r>
      <w:r w:rsidR="005D225F" w:rsidRPr="00915158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="005D225F" w:rsidRPr="00915158">
        <w:rPr>
          <w:rFonts w:asciiTheme="majorBidi" w:hAnsiTheme="majorBidi" w:cstheme="majorBidi"/>
          <w:sz w:val="24"/>
          <w:szCs w:val="24"/>
        </w:rPr>
        <w:t>/L), respectively.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5D225F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0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C358C1">
        <w:rPr>
          <w:rFonts w:asciiTheme="majorBidi" w:hAnsiTheme="majorBidi" w:cstheme="majorBidi"/>
          <w:sz w:val="24"/>
          <w:szCs w:val="24"/>
        </w:rPr>
        <w:t xml:space="preserve"> At the time of admission, </w:t>
      </w:r>
      <w:r w:rsidR="006C50A5" w:rsidRPr="00915158">
        <w:rPr>
          <w:rFonts w:asciiTheme="majorBidi" w:hAnsiTheme="majorBidi" w:cstheme="majorBidi"/>
          <w:sz w:val="24"/>
          <w:szCs w:val="24"/>
        </w:rPr>
        <w:t>l</w:t>
      </w:r>
      <w:r w:rsidR="003464D8" w:rsidRPr="00915158">
        <w:rPr>
          <w:rFonts w:asciiTheme="majorBidi" w:hAnsiTheme="majorBidi" w:cstheme="majorBidi"/>
          <w:sz w:val="24"/>
          <w:szCs w:val="24"/>
        </w:rPr>
        <w:t>ymphopenia and neutrophilia were observed in 52.7% and 21.4</w:t>
      </w:r>
      <w:r w:rsidR="006C50A5" w:rsidRPr="00915158">
        <w:rPr>
          <w:rFonts w:asciiTheme="majorBidi" w:hAnsiTheme="majorBidi" w:cstheme="majorBidi"/>
          <w:sz w:val="24"/>
          <w:szCs w:val="24"/>
        </w:rPr>
        <w:t xml:space="preserve">% of patients, </w:t>
      </w:r>
      <w:r w:rsidR="003464D8" w:rsidRPr="00915158">
        <w:rPr>
          <w:rFonts w:asciiTheme="majorBidi" w:hAnsiTheme="majorBidi" w:cstheme="majorBidi"/>
          <w:sz w:val="24"/>
          <w:szCs w:val="24"/>
        </w:rPr>
        <w:t xml:space="preserve">respectively. </w:t>
      </w:r>
      <w:r w:rsidR="00043E2D" w:rsidRPr="00915158">
        <w:rPr>
          <w:rFonts w:asciiTheme="majorBidi" w:hAnsiTheme="majorBidi" w:cstheme="majorBidi"/>
          <w:sz w:val="24"/>
          <w:szCs w:val="24"/>
        </w:rPr>
        <w:t>The mean count of neutrophils was significantly higher in non-survived patients at the time of admission (P=0.032), t</w:t>
      </w:r>
      <w:r w:rsidR="00D65DB5" w:rsidRPr="00915158">
        <w:rPr>
          <w:rFonts w:asciiTheme="majorBidi" w:hAnsiTheme="majorBidi" w:cstheme="majorBidi"/>
          <w:sz w:val="24"/>
          <w:szCs w:val="24"/>
        </w:rPr>
        <w:t>he mean ANC nadir</w:t>
      </w:r>
      <w:r w:rsidR="00043E2D" w:rsidRPr="00915158">
        <w:rPr>
          <w:rFonts w:asciiTheme="majorBidi" w:hAnsiTheme="majorBidi" w:cstheme="majorBidi"/>
          <w:sz w:val="24"/>
          <w:szCs w:val="24"/>
        </w:rPr>
        <w:t xml:space="preserve"> and the mean level of maximum ANC were</w:t>
      </w:r>
      <w:r w:rsidR="00C358C1">
        <w:rPr>
          <w:rFonts w:asciiTheme="majorBidi" w:hAnsiTheme="majorBidi" w:cstheme="majorBidi"/>
          <w:sz w:val="24"/>
          <w:szCs w:val="24"/>
        </w:rPr>
        <w:t xml:space="preserve"> also</w:t>
      </w:r>
      <w:r w:rsidR="00043E2D" w:rsidRPr="00915158">
        <w:rPr>
          <w:rFonts w:asciiTheme="majorBidi" w:hAnsiTheme="majorBidi" w:cstheme="majorBidi"/>
          <w:sz w:val="24"/>
          <w:szCs w:val="24"/>
        </w:rPr>
        <w:t xml:space="preserve"> both</w:t>
      </w:r>
      <w:r w:rsidR="00D65DB5" w:rsidRPr="00915158">
        <w:rPr>
          <w:rFonts w:asciiTheme="majorBidi" w:hAnsiTheme="majorBidi" w:cstheme="majorBidi"/>
          <w:sz w:val="24"/>
          <w:szCs w:val="24"/>
        </w:rPr>
        <w:t xml:space="preserve"> higher in patients who had been admitted in ICU and </w:t>
      </w:r>
      <w:r w:rsidR="00043E2D" w:rsidRPr="00915158">
        <w:rPr>
          <w:rFonts w:asciiTheme="majorBidi" w:hAnsiTheme="majorBidi" w:cstheme="majorBidi"/>
          <w:sz w:val="24"/>
          <w:szCs w:val="24"/>
        </w:rPr>
        <w:t xml:space="preserve">in </w:t>
      </w:r>
      <w:r w:rsidR="00C358C1">
        <w:rPr>
          <w:rFonts w:asciiTheme="majorBidi" w:hAnsiTheme="majorBidi" w:cstheme="majorBidi"/>
          <w:sz w:val="24"/>
          <w:szCs w:val="24"/>
        </w:rPr>
        <w:t>the non-</w:t>
      </w:r>
      <w:r w:rsidR="00D65DB5" w:rsidRPr="00915158">
        <w:rPr>
          <w:rFonts w:asciiTheme="majorBidi" w:hAnsiTheme="majorBidi" w:cstheme="majorBidi"/>
          <w:sz w:val="24"/>
          <w:szCs w:val="24"/>
        </w:rPr>
        <w:t xml:space="preserve">survivors. </w:t>
      </w:r>
      <w:r w:rsidR="003464D8" w:rsidRPr="00915158">
        <w:rPr>
          <w:rFonts w:asciiTheme="majorBidi" w:hAnsiTheme="majorBidi" w:cstheme="majorBidi"/>
          <w:sz w:val="24"/>
          <w:szCs w:val="24"/>
        </w:rPr>
        <w:t xml:space="preserve">Neutrophil-to-lymphocyte ratio (NLR) </w:t>
      </w:r>
      <w:r w:rsidR="00043E2D" w:rsidRPr="00915158">
        <w:rPr>
          <w:rFonts w:asciiTheme="majorBidi" w:hAnsiTheme="majorBidi" w:cstheme="majorBidi"/>
          <w:sz w:val="24"/>
          <w:szCs w:val="24"/>
        </w:rPr>
        <w:t xml:space="preserve">was </w:t>
      </w:r>
      <w:r w:rsidR="003464D8" w:rsidRPr="00915158">
        <w:rPr>
          <w:rFonts w:asciiTheme="majorBidi" w:hAnsiTheme="majorBidi" w:cstheme="majorBidi"/>
          <w:sz w:val="24"/>
          <w:szCs w:val="24"/>
        </w:rPr>
        <w:t>within normal limits (</w:t>
      </w:r>
      <w:r w:rsidR="006C50A5" w:rsidRPr="00915158">
        <w:rPr>
          <w:rFonts w:asciiTheme="majorBidi" w:hAnsiTheme="majorBidi" w:cstheme="majorBidi"/>
          <w:sz w:val="24"/>
          <w:szCs w:val="24"/>
        </w:rPr>
        <w:t>i.e.</w:t>
      </w:r>
      <w:r w:rsidR="003464D8" w:rsidRPr="00915158">
        <w:rPr>
          <w:rFonts w:asciiTheme="majorBidi" w:hAnsiTheme="majorBidi" w:cstheme="majorBidi"/>
          <w:sz w:val="24"/>
          <w:szCs w:val="24"/>
        </w:rPr>
        <w:t xml:space="preserve"> 1-3) in </w:t>
      </w:r>
      <w:r w:rsidR="006C50A5" w:rsidRPr="00915158">
        <w:rPr>
          <w:rFonts w:asciiTheme="majorBidi" w:hAnsiTheme="majorBidi" w:cstheme="majorBidi"/>
          <w:sz w:val="24"/>
          <w:szCs w:val="24"/>
        </w:rPr>
        <w:t>28.6% of patients. Lower than normal ALC and elevated NLR were significantl</w:t>
      </w:r>
      <w:r w:rsidR="00C358C1">
        <w:rPr>
          <w:rFonts w:asciiTheme="majorBidi" w:hAnsiTheme="majorBidi" w:cstheme="majorBidi"/>
          <w:sz w:val="24"/>
          <w:szCs w:val="24"/>
        </w:rPr>
        <w:t>y associated with mortality (P=</w:t>
      </w:r>
      <w:r w:rsidR="006C50A5" w:rsidRPr="00915158">
        <w:rPr>
          <w:rFonts w:asciiTheme="majorBidi" w:hAnsiTheme="majorBidi" w:cstheme="majorBidi"/>
          <w:sz w:val="24"/>
          <w:szCs w:val="24"/>
        </w:rPr>
        <w:t>0.004 and P&lt;0.001, respectively).</w:t>
      </w:r>
      <w:r w:rsidR="002076EB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AC0A40" w:rsidRPr="00915158">
        <w:rPr>
          <w:rFonts w:asciiTheme="majorBidi" w:hAnsiTheme="majorBidi" w:cstheme="majorBidi"/>
          <w:sz w:val="24"/>
          <w:szCs w:val="24"/>
        </w:rPr>
        <w:t xml:space="preserve">Elevated NLR was also associated with having a history </w:t>
      </w:r>
      <w:r w:rsidR="00687767">
        <w:rPr>
          <w:rFonts w:asciiTheme="majorBidi" w:hAnsiTheme="majorBidi" w:cstheme="majorBidi"/>
          <w:sz w:val="24"/>
          <w:szCs w:val="24"/>
        </w:rPr>
        <w:t>of ICU admission (P=0.012). Furthermore,</w:t>
      </w:r>
      <w:r w:rsidR="00AC0A40" w:rsidRPr="00915158">
        <w:rPr>
          <w:rFonts w:asciiTheme="majorBidi" w:hAnsiTheme="majorBidi" w:cstheme="majorBidi"/>
          <w:sz w:val="24"/>
          <w:szCs w:val="24"/>
        </w:rPr>
        <w:t xml:space="preserve"> the nadir amount of NLR was significantly hig</w:t>
      </w:r>
      <w:r w:rsidR="000162D4" w:rsidRPr="00915158">
        <w:rPr>
          <w:rFonts w:asciiTheme="majorBidi" w:hAnsiTheme="majorBidi" w:cstheme="majorBidi"/>
          <w:sz w:val="24"/>
          <w:szCs w:val="24"/>
        </w:rPr>
        <w:t>her in non-survived patients (P&lt;0.001</w:t>
      </w:r>
      <w:r w:rsidR="00AC0A40" w:rsidRPr="00915158">
        <w:rPr>
          <w:rFonts w:asciiTheme="majorBidi" w:hAnsiTheme="majorBidi" w:cstheme="majorBidi"/>
          <w:sz w:val="24"/>
          <w:szCs w:val="24"/>
        </w:rPr>
        <w:t>).</w:t>
      </w:r>
      <w:r w:rsidR="00D65DB5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B936FB" w:rsidRPr="00915158">
        <w:rPr>
          <w:rFonts w:asciiTheme="majorBidi" w:hAnsiTheme="majorBidi" w:cstheme="majorBidi"/>
          <w:sz w:val="24"/>
          <w:szCs w:val="24"/>
        </w:rPr>
        <w:t xml:space="preserve">Figure 1 presents the comparison of CBC parameters </w:t>
      </w:r>
      <w:r w:rsidR="00C358C1">
        <w:rPr>
          <w:rFonts w:asciiTheme="majorBidi" w:hAnsiTheme="majorBidi" w:cstheme="majorBidi"/>
          <w:sz w:val="24"/>
          <w:szCs w:val="24"/>
        </w:rPr>
        <w:t>(</w:t>
      </w:r>
      <w:r w:rsidR="00B936FB" w:rsidRPr="00915158">
        <w:rPr>
          <w:rFonts w:asciiTheme="majorBidi" w:hAnsiTheme="majorBidi" w:cstheme="majorBidi"/>
          <w:sz w:val="24"/>
          <w:szCs w:val="24"/>
        </w:rPr>
        <w:t>at the time of admission, the nadir amount and the maximum amount</w:t>
      </w:r>
      <w:r w:rsidR="00C358C1">
        <w:rPr>
          <w:rFonts w:asciiTheme="majorBidi" w:hAnsiTheme="majorBidi" w:cstheme="majorBidi"/>
          <w:sz w:val="24"/>
          <w:szCs w:val="24"/>
        </w:rPr>
        <w:t>)</w:t>
      </w:r>
      <w:r w:rsidR="00B936FB" w:rsidRPr="00915158">
        <w:rPr>
          <w:rFonts w:asciiTheme="majorBidi" w:hAnsiTheme="majorBidi" w:cstheme="majorBidi"/>
          <w:sz w:val="24"/>
          <w:szCs w:val="24"/>
        </w:rPr>
        <w:t xml:space="preserve"> in survivors and non survivors.</w:t>
      </w:r>
    </w:p>
    <w:p w:rsid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</w:rPr>
      </w:pPr>
    </w:p>
    <w:p w:rsidR="00915158" w:rsidRP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</w:rPr>
      </w:pPr>
      <w:r w:rsidRPr="00915158">
        <w:rPr>
          <w:rFonts w:asciiTheme="majorBidi" w:hAnsiTheme="majorBidi" w:cstheme="majorBidi"/>
          <w:b/>
          <w:bCs/>
        </w:rPr>
        <w:t xml:space="preserve">Figure 1. Comparison of CBC parameters between COVID-19 survivors and non survivors </w:t>
      </w:r>
      <w:r>
        <w:rPr>
          <w:rFonts w:asciiTheme="majorBidi" w:hAnsiTheme="majorBidi" w:cstheme="majorBidi"/>
          <w:b/>
          <w:bCs/>
        </w:rPr>
        <w:t>(P&lt;0.05)</w:t>
      </w:r>
    </w:p>
    <w:p w:rsidR="00B936FB" w:rsidRPr="00915158" w:rsidRDefault="00B936FB" w:rsidP="00915158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15158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1145C761" wp14:editId="3CFE80F9">
            <wp:extent cx="2914650" cy="151163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313" t="14020" r="2450" b="14079"/>
                    <a:stretch/>
                  </pic:blipFill>
                  <pic:spPr bwMode="auto">
                    <a:xfrm>
                      <a:off x="0" y="0"/>
                      <a:ext cx="2963156" cy="1536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AA694CC" wp14:editId="33A6FC66">
            <wp:extent cx="2962275" cy="1540251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804" t="15981" r="2451" b="14800"/>
                    <a:stretch/>
                  </pic:blipFill>
                  <pic:spPr bwMode="auto">
                    <a:xfrm>
                      <a:off x="0" y="0"/>
                      <a:ext cx="2982828" cy="1550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6FB" w:rsidRPr="00915158" w:rsidRDefault="00B936FB" w:rsidP="00915158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B936FB" w:rsidRPr="00915158" w:rsidRDefault="00B936FB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82DA7ED" wp14:editId="7A9004E3">
            <wp:extent cx="2895600" cy="15097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9804" t="16390" r="2205" b="15884"/>
                    <a:stretch/>
                  </pic:blipFill>
                  <pic:spPr bwMode="auto">
                    <a:xfrm>
                      <a:off x="0" y="0"/>
                      <a:ext cx="2916215" cy="1520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21877D9" wp14:editId="7FBA6B36">
            <wp:extent cx="2924175" cy="1523365"/>
            <wp:effectExtent l="0" t="0" r="952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559" t="14602" r="2696" b="14800"/>
                    <a:stretch/>
                  </pic:blipFill>
                  <pic:spPr bwMode="auto">
                    <a:xfrm>
                      <a:off x="0" y="0"/>
                      <a:ext cx="2934721" cy="1528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6FB" w:rsidRPr="00915158" w:rsidRDefault="00B936FB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:rsidR="00AC0A40" w:rsidRPr="00915158" w:rsidRDefault="00AC0A40" w:rsidP="00915158">
      <w:pPr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H</w:t>
      </w:r>
      <w:r w:rsidR="006445AD" w:rsidRPr="00915158">
        <w:rPr>
          <w:rFonts w:asciiTheme="majorBidi" w:hAnsiTheme="majorBidi" w:cstheme="majorBidi"/>
          <w:sz w:val="24"/>
          <w:szCs w:val="24"/>
        </w:rPr>
        <w:t xml:space="preserve">emoglobin (Hb) </w:t>
      </w:r>
      <w:r w:rsidRPr="00915158">
        <w:rPr>
          <w:rFonts w:asciiTheme="majorBidi" w:hAnsiTheme="majorBidi" w:cstheme="majorBidi"/>
          <w:sz w:val="24"/>
          <w:szCs w:val="24"/>
        </w:rPr>
        <w:t>concentration was lower than 12 gr/dl in 42.4% of patients</w:t>
      </w:r>
      <w:r w:rsidR="000162D4" w:rsidRPr="00915158">
        <w:rPr>
          <w:rFonts w:asciiTheme="majorBidi" w:hAnsiTheme="majorBidi" w:cstheme="majorBidi"/>
          <w:sz w:val="24"/>
          <w:szCs w:val="24"/>
        </w:rPr>
        <w:t xml:space="preserve"> and low Hb significantly correlated with mortality (P=0.004) and ICU admission (P=0.04). </w:t>
      </w:r>
    </w:p>
    <w:p w:rsidR="00C32287" w:rsidRPr="00915158" w:rsidRDefault="000162D4" w:rsidP="00C358C1">
      <w:pPr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P</w:t>
      </w:r>
      <w:r w:rsidR="00DB6C3A" w:rsidRPr="00915158">
        <w:rPr>
          <w:rFonts w:asciiTheme="majorBidi" w:hAnsiTheme="majorBidi" w:cstheme="majorBidi"/>
          <w:sz w:val="24"/>
          <w:szCs w:val="24"/>
        </w:rPr>
        <w:t>latelets</w:t>
      </w:r>
      <w:r w:rsidR="006445AD" w:rsidRPr="00915158">
        <w:rPr>
          <w:rFonts w:asciiTheme="majorBidi" w:hAnsiTheme="majorBidi" w:cstheme="majorBidi"/>
          <w:sz w:val="24"/>
          <w:szCs w:val="24"/>
        </w:rPr>
        <w:t xml:space="preserve"> (Plt)</w:t>
      </w:r>
      <w:r w:rsidRPr="00915158">
        <w:rPr>
          <w:rFonts w:asciiTheme="majorBidi" w:hAnsiTheme="majorBidi" w:cstheme="majorBidi"/>
          <w:sz w:val="24"/>
          <w:szCs w:val="24"/>
        </w:rPr>
        <w:t xml:space="preserve"> was</w:t>
      </w:r>
      <w:r w:rsidR="00DB6C3A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Pr="00915158">
        <w:rPr>
          <w:rFonts w:asciiTheme="majorBidi" w:hAnsiTheme="majorBidi" w:cstheme="majorBidi"/>
          <w:sz w:val="24"/>
          <w:szCs w:val="24"/>
        </w:rPr>
        <w:t>lower than normal (</w:t>
      </w:r>
      <w:r w:rsidR="0042350A">
        <w:rPr>
          <w:rFonts w:asciiTheme="majorBidi" w:hAnsiTheme="majorBidi" w:cstheme="majorBidi"/>
          <w:sz w:val="24"/>
          <w:szCs w:val="24"/>
        </w:rPr>
        <w:t>i.e. &lt;1</w:t>
      </w:r>
      <w:r w:rsidRPr="00915158">
        <w:rPr>
          <w:rFonts w:asciiTheme="majorBidi" w:hAnsiTheme="majorBidi" w:cstheme="majorBidi"/>
          <w:sz w:val="24"/>
          <w:szCs w:val="24"/>
        </w:rPr>
        <w:t>5</w:t>
      </w:r>
      <w:r w:rsidR="0042350A">
        <w:rPr>
          <w:rFonts w:asciiTheme="majorBidi" w:hAnsiTheme="majorBidi" w:cstheme="majorBidi"/>
          <w:sz w:val="24"/>
          <w:szCs w:val="24"/>
        </w:rPr>
        <w:t>0</w:t>
      </w:r>
      <w:r w:rsidRPr="00915158">
        <w:rPr>
          <w:rFonts w:asciiTheme="majorBidi" w:hAnsiTheme="majorBidi" w:cstheme="majorBidi"/>
          <w:sz w:val="24"/>
          <w:szCs w:val="24"/>
        </w:rPr>
        <w:t xml:space="preserve"> ×10</w:t>
      </w:r>
      <w:r w:rsidRPr="00915158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915158">
        <w:rPr>
          <w:rFonts w:asciiTheme="majorBidi" w:hAnsiTheme="majorBidi" w:cstheme="majorBidi"/>
          <w:sz w:val="24"/>
          <w:szCs w:val="24"/>
        </w:rPr>
        <w:t>/L)</w:t>
      </w:r>
      <w:r w:rsidR="00DB6C3A" w:rsidRPr="00915158">
        <w:rPr>
          <w:rFonts w:asciiTheme="majorBidi" w:hAnsiTheme="majorBidi" w:cstheme="majorBidi"/>
          <w:sz w:val="24"/>
          <w:szCs w:val="24"/>
        </w:rPr>
        <w:t xml:space="preserve"> in </w:t>
      </w:r>
      <w:r w:rsidRPr="00915158">
        <w:rPr>
          <w:rFonts w:asciiTheme="majorBidi" w:hAnsiTheme="majorBidi" w:cstheme="majorBidi"/>
          <w:sz w:val="24"/>
          <w:szCs w:val="24"/>
        </w:rPr>
        <w:t>51.9</w:t>
      </w:r>
      <w:r w:rsidR="00681F29" w:rsidRPr="00915158">
        <w:rPr>
          <w:rFonts w:asciiTheme="majorBidi" w:hAnsiTheme="majorBidi" w:cstheme="majorBidi"/>
          <w:sz w:val="24"/>
          <w:szCs w:val="24"/>
        </w:rPr>
        <w:t>% of patients</w:t>
      </w:r>
      <w:r w:rsidR="00E529A6" w:rsidRPr="00915158">
        <w:rPr>
          <w:rFonts w:asciiTheme="majorBidi" w:hAnsiTheme="majorBidi" w:cstheme="majorBidi"/>
          <w:sz w:val="24"/>
          <w:szCs w:val="24"/>
        </w:rPr>
        <w:t xml:space="preserve"> and the mean Plt count was significantly lower in the non-survived patients at the time of admission (P=0.023).</w:t>
      </w:r>
      <w:r w:rsidR="00485A17" w:rsidRPr="00915158">
        <w:rPr>
          <w:rFonts w:asciiTheme="majorBidi" w:hAnsiTheme="majorBidi" w:cstheme="majorBidi"/>
          <w:sz w:val="24"/>
          <w:szCs w:val="24"/>
        </w:rPr>
        <w:t xml:space="preserve"> Non</w:t>
      </w:r>
      <w:r w:rsidR="00485A17" w:rsidRPr="00915158">
        <w:rPr>
          <w:rFonts w:ascii="Cambria Math" w:hAnsi="Cambria Math" w:cs="Cambria Math"/>
          <w:sz w:val="24"/>
          <w:szCs w:val="24"/>
        </w:rPr>
        <w:t>‐</w:t>
      </w:r>
      <w:r w:rsidR="00485A17" w:rsidRPr="00915158">
        <w:rPr>
          <w:rFonts w:asciiTheme="majorBidi" w:hAnsiTheme="majorBidi" w:cstheme="majorBidi"/>
          <w:sz w:val="24"/>
          <w:szCs w:val="24"/>
        </w:rPr>
        <w:t>survivors had significantly lower nadir Hb and Plt counts than survivors (P &lt;0.001 in both parameters).</w:t>
      </w:r>
      <w:r w:rsidR="00DE6EAD" w:rsidRPr="00915158">
        <w:rPr>
          <w:rFonts w:asciiTheme="majorBidi" w:hAnsiTheme="majorBidi" w:cstheme="majorBidi"/>
          <w:sz w:val="24"/>
          <w:szCs w:val="24"/>
        </w:rPr>
        <w:t xml:space="preserve"> Platelet-to-lymphocyte ratio (PLR) also correlated with mortality and was significantly higher in non-survivors than survivors (299 vs 203, respectively, P=0.034).</w:t>
      </w:r>
      <w:r w:rsidR="00C358C1">
        <w:rPr>
          <w:rFonts w:asciiTheme="majorBidi" w:hAnsiTheme="majorBidi" w:cstheme="majorBidi"/>
          <w:sz w:val="24"/>
          <w:szCs w:val="24"/>
        </w:rPr>
        <w:t xml:space="preserve"> </w:t>
      </w:r>
      <w:r w:rsidR="00E529A6" w:rsidRPr="00915158">
        <w:rPr>
          <w:rFonts w:asciiTheme="majorBidi" w:hAnsiTheme="majorBidi" w:cstheme="majorBidi"/>
          <w:sz w:val="24"/>
          <w:szCs w:val="24"/>
        </w:rPr>
        <w:t xml:space="preserve">Table 1 compares </w:t>
      </w:r>
      <w:r w:rsidR="00485A17" w:rsidRPr="00915158">
        <w:rPr>
          <w:rFonts w:asciiTheme="majorBidi" w:hAnsiTheme="majorBidi" w:cstheme="majorBidi"/>
          <w:sz w:val="24"/>
          <w:szCs w:val="24"/>
        </w:rPr>
        <w:t xml:space="preserve">the nadir and maximum amounts of CBC parameters during the whole duration of every patients' hospitalization in survivors and non survivors. </w:t>
      </w:r>
    </w:p>
    <w:p w:rsidR="00915158" w:rsidRDefault="00915158" w:rsidP="00915158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</w:rPr>
      </w:pPr>
    </w:p>
    <w:p w:rsidR="00651D44" w:rsidRPr="00915158" w:rsidRDefault="00651D44" w:rsidP="00915158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</w:rPr>
      </w:pPr>
      <w:r w:rsidRPr="00915158">
        <w:rPr>
          <w:rFonts w:asciiTheme="majorBidi" w:hAnsiTheme="majorBidi" w:cstheme="majorBidi"/>
          <w:b/>
          <w:bCs/>
        </w:rPr>
        <w:t>Table 1. CBC parameters in survivors vs. non survivors</w:t>
      </w:r>
    </w:p>
    <w:tbl>
      <w:tblPr>
        <w:tblStyle w:val="GridTable6Colorful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805"/>
        <w:gridCol w:w="2835"/>
        <w:gridCol w:w="2977"/>
        <w:gridCol w:w="1123"/>
      </w:tblGrid>
      <w:tr w:rsidR="00651D44" w:rsidRPr="00915158" w:rsidTr="00B936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Characteristics</w:t>
            </w:r>
          </w:p>
        </w:tc>
        <w:tc>
          <w:tcPr>
            <w:tcW w:w="2835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Survivors </w:t>
            </w:r>
          </w:p>
          <w:p w:rsidR="00651D44" w:rsidRPr="00915158" w:rsidRDefault="00651D44" w:rsidP="00915158">
            <w:pPr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Mean (SD)</w:t>
            </w:r>
          </w:p>
        </w:tc>
        <w:tc>
          <w:tcPr>
            <w:tcW w:w="2977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Non survivors </w:t>
            </w:r>
          </w:p>
          <w:p w:rsidR="00651D44" w:rsidRPr="00915158" w:rsidRDefault="00651D44" w:rsidP="00915158">
            <w:pPr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Mean (SD)</w:t>
            </w:r>
          </w:p>
        </w:tc>
        <w:tc>
          <w:tcPr>
            <w:tcW w:w="112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P-value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 w:val="restart"/>
            <w:tcBorders>
              <w:top w:val="double" w:sz="4" w:space="0" w:color="000000"/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Leukocyte 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×10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  <w:t>9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/L</w:t>
            </w:r>
          </w:p>
        </w:tc>
        <w:tc>
          <w:tcPr>
            <w:tcW w:w="805" w:type="dxa"/>
            <w:tcBorders>
              <w:top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Q1</w:t>
            </w:r>
          </w:p>
        </w:tc>
        <w:tc>
          <w:tcPr>
            <w:tcW w:w="2835" w:type="dxa"/>
            <w:tcBorders>
              <w:top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 (7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.9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.9 (13.9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double" w:sz="4" w:space="0" w:color="000000"/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0.335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Q2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(9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 (3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0.522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Q3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3.2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(31.9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18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.1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(20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0.165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 w:val="restart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Lymphocyte 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×10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  <w:t>9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/L</w:t>
            </w: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Q1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(2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(32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0.001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Q2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(1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 (3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0.977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Q3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(2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 (3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0.591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 w:val="restart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Neutrophil 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×10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  <w:t>9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/L</w:t>
            </w: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Q1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3 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(3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 (4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0.032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Q2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(2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 (6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0.001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Q3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 (5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</w:t>
            </w:r>
            <w:r w:rsidR="00800C3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 (8</w:t>
            </w:r>
            <w:r w:rsidR="0094621A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0.000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 w:val="restart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Hemoglobin g/dL </w:t>
            </w: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Q1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12.8 (2.6)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11.3 (3.03)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0.002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Q2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11.5 (2.9)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9.3 (2.8)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0.000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Q3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13.1 (2.2)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12.2 (2.7)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0.025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 w:val="restart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lastRenderedPageBreak/>
              <w:t>Platelet ×10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  <w:t>9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/L </w:t>
            </w: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Q1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192 (115)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158 (85)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0.023</w:t>
            </w:r>
          </w:p>
        </w:tc>
      </w:tr>
      <w:tr w:rsidR="00651D44" w:rsidRPr="00915158" w:rsidTr="00B93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Q2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165</w:t>
            </w:r>
            <w:r w:rsidR="00B17D0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(92</w:t>
            </w: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102 (67)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0.000</w:t>
            </w:r>
          </w:p>
        </w:tc>
      </w:tr>
      <w:tr w:rsidR="00651D44" w:rsidRPr="00915158" w:rsidTr="00B93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Merge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651D44" w:rsidRPr="00915158" w:rsidRDefault="00651D44" w:rsidP="00915158">
            <w:pPr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Q3</w:t>
            </w:r>
          </w:p>
        </w:tc>
        <w:tc>
          <w:tcPr>
            <w:tcW w:w="2835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263 (157)</w:t>
            </w:r>
          </w:p>
        </w:tc>
        <w:tc>
          <w:tcPr>
            <w:tcW w:w="2977" w:type="dxa"/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211 (115)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651D44" w:rsidRPr="00915158" w:rsidRDefault="00651D44" w:rsidP="0091515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0.011</w:t>
            </w:r>
          </w:p>
        </w:tc>
      </w:tr>
    </w:tbl>
    <w:p w:rsidR="00E529A6" w:rsidRPr="00915158" w:rsidRDefault="00651D44" w:rsidP="00915158">
      <w:pPr>
        <w:spacing w:line="276" w:lineRule="auto"/>
        <w:contextualSpacing/>
        <w:jc w:val="both"/>
        <w:rPr>
          <w:rFonts w:asciiTheme="majorBidi" w:hAnsiTheme="majorBidi" w:cstheme="majorBidi"/>
        </w:rPr>
      </w:pPr>
      <w:r w:rsidRPr="00915158">
        <w:rPr>
          <w:rFonts w:asciiTheme="majorBidi" w:hAnsiTheme="majorBidi" w:cstheme="majorBidi"/>
        </w:rPr>
        <w:t>Quantity at the time of admission (Q1), Nadir quantity during hospitalization (Q2), Maximum quantity during hospitalization (Q3).</w:t>
      </w:r>
    </w:p>
    <w:p w:rsid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:rsidR="00703721" w:rsidRPr="00915158" w:rsidRDefault="00703721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The mean values of MCV, MCH, MCHC and RDW </w:t>
      </w:r>
      <w:r w:rsidR="00AB66A1" w:rsidRPr="00915158">
        <w:rPr>
          <w:rFonts w:asciiTheme="majorBidi" w:hAnsiTheme="majorBidi" w:cstheme="majorBidi"/>
          <w:sz w:val="24"/>
          <w:szCs w:val="24"/>
        </w:rPr>
        <w:t>at the time of admission</w:t>
      </w:r>
      <w:r w:rsidR="000E4903" w:rsidRPr="00915158">
        <w:rPr>
          <w:rFonts w:asciiTheme="majorBidi" w:hAnsiTheme="majorBidi" w:cstheme="majorBidi"/>
          <w:sz w:val="24"/>
          <w:szCs w:val="24"/>
        </w:rPr>
        <w:t xml:space="preserve"> were also compared between the two mentioned groups</w:t>
      </w:r>
      <w:r w:rsidR="00AB66A1"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="000E4903" w:rsidRPr="00915158">
        <w:rPr>
          <w:rFonts w:asciiTheme="majorBidi" w:hAnsiTheme="majorBidi" w:cstheme="majorBidi"/>
          <w:sz w:val="24"/>
          <w:szCs w:val="24"/>
        </w:rPr>
        <w:t xml:space="preserve">but neither of them </w:t>
      </w:r>
      <w:r w:rsidRPr="00915158">
        <w:rPr>
          <w:rFonts w:asciiTheme="majorBidi" w:hAnsiTheme="majorBidi" w:cstheme="majorBidi"/>
          <w:sz w:val="24"/>
          <w:szCs w:val="24"/>
        </w:rPr>
        <w:t>correlate</w:t>
      </w:r>
      <w:r w:rsidR="000E4903" w:rsidRPr="00915158">
        <w:rPr>
          <w:rFonts w:asciiTheme="majorBidi" w:hAnsiTheme="majorBidi" w:cstheme="majorBidi"/>
          <w:sz w:val="24"/>
          <w:szCs w:val="24"/>
        </w:rPr>
        <w:t>d</w:t>
      </w:r>
      <w:r w:rsidRPr="00915158">
        <w:rPr>
          <w:rFonts w:asciiTheme="majorBidi" w:hAnsiTheme="majorBidi" w:cstheme="majorBidi"/>
          <w:sz w:val="24"/>
          <w:szCs w:val="24"/>
        </w:rPr>
        <w:t xml:space="preserve"> with mortality </w:t>
      </w:r>
      <w:r w:rsidR="000E4903" w:rsidRPr="00915158">
        <w:rPr>
          <w:rFonts w:asciiTheme="majorBidi" w:hAnsiTheme="majorBidi" w:cstheme="majorBidi"/>
          <w:sz w:val="24"/>
          <w:szCs w:val="24"/>
        </w:rPr>
        <w:t>nor ICU admission.</w:t>
      </w:r>
    </w:p>
    <w:p w:rsidR="00775A17" w:rsidRPr="00915158" w:rsidRDefault="00775A17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915158">
        <w:rPr>
          <w:rFonts w:asciiTheme="majorBidi" w:hAnsiTheme="majorBidi" w:cstheme="majorBidi"/>
          <w:sz w:val="24"/>
          <w:szCs w:val="24"/>
          <w:u w:val="single"/>
        </w:rPr>
        <w:t>Hematology related laboratory markers</w:t>
      </w:r>
    </w:p>
    <w:p w:rsidR="00AC0C25" w:rsidRPr="00915158" w:rsidRDefault="00431223" w:rsidP="0042350A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In blood tests at the time of admission, </w:t>
      </w:r>
      <w:r w:rsidR="00C84132" w:rsidRPr="00915158">
        <w:rPr>
          <w:rFonts w:asciiTheme="majorBidi" w:hAnsiTheme="majorBidi" w:cstheme="majorBidi"/>
          <w:sz w:val="24"/>
          <w:szCs w:val="24"/>
        </w:rPr>
        <w:t xml:space="preserve">PT and PTT were checked for 182 patients. </w:t>
      </w:r>
      <w:r w:rsidR="00BC13D9" w:rsidRPr="00915158">
        <w:rPr>
          <w:rFonts w:asciiTheme="majorBidi" w:hAnsiTheme="majorBidi" w:cstheme="majorBidi"/>
          <w:sz w:val="24"/>
          <w:szCs w:val="24"/>
        </w:rPr>
        <w:t xml:space="preserve">PT was </w:t>
      </w:r>
      <w:r w:rsidR="0042350A">
        <w:rPr>
          <w:rFonts w:asciiTheme="majorBidi" w:hAnsiTheme="majorBidi" w:cstheme="majorBidi"/>
          <w:sz w:val="24"/>
          <w:szCs w:val="24"/>
        </w:rPr>
        <w:t>prolonged</w:t>
      </w:r>
      <w:r w:rsidR="00BC13D9" w:rsidRPr="00915158">
        <w:rPr>
          <w:rFonts w:asciiTheme="majorBidi" w:hAnsiTheme="majorBidi" w:cstheme="majorBidi"/>
          <w:sz w:val="24"/>
          <w:szCs w:val="24"/>
        </w:rPr>
        <w:t xml:space="preserve"> (i.e. &gt;14 </w:t>
      </w:r>
      <w:r w:rsidR="0057500F" w:rsidRPr="00915158">
        <w:rPr>
          <w:rFonts w:asciiTheme="majorBidi" w:hAnsiTheme="majorBidi" w:cstheme="majorBidi"/>
          <w:sz w:val="24"/>
          <w:szCs w:val="24"/>
        </w:rPr>
        <w:t>s</w:t>
      </w:r>
      <w:r w:rsidRPr="00915158">
        <w:rPr>
          <w:rFonts w:asciiTheme="majorBidi" w:hAnsiTheme="majorBidi" w:cstheme="majorBidi"/>
          <w:sz w:val="24"/>
          <w:szCs w:val="24"/>
        </w:rPr>
        <w:t>)</w:t>
      </w:r>
      <w:r w:rsidR="00BC13D9" w:rsidRPr="00915158">
        <w:rPr>
          <w:rFonts w:asciiTheme="majorBidi" w:hAnsiTheme="majorBidi" w:cstheme="majorBidi"/>
          <w:sz w:val="24"/>
          <w:szCs w:val="24"/>
        </w:rPr>
        <w:t xml:space="preserve"> in 57.4% of the patients, but only 20.3% of the patients had abnormal PTT (i.e. &gt;30 s)</w:t>
      </w:r>
      <w:r w:rsidRPr="00915158">
        <w:rPr>
          <w:rFonts w:asciiTheme="majorBidi" w:hAnsiTheme="majorBidi" w:cstheme="majorBidi"/>
          <w:sz w:val="24"/>
          <w:szCs w:val="24"/>
        </w:rPr>
        <w:t xml:space="preserve">. </w:t>
      </w:r>
      <w:r w:rsidR="007A1423" w:rsidRPr="00915158">
        <w:rPr>
          <w:rFonts w:asciiTheme="majorBidi" w:hAnsiTheme="majorBidi" w:cstheme="majorBidi"/>
          <w:sz w:val="24"/>
          <w:szCs w:val="24"/>
        </w:rPr>
        <w:t xml:space="preserve">Although the mean level of </w:t>
      </w:r>
      <w:r w:rsidRPr="00915158">
        <w:rPr>
          <w:rFonts w:asciiTheme="majorBidi" w:hAnsiTheme="majorBidi" w:cstheme="majorBidi"/>
          <w:sz w:val="24"/>
          <w:szCs w:val="24"/>
        </w:rPr>
        <w:t xml:space="preserve">these two parameters </w:t>
      </w:r>
      <w:r w:rsidR="00C358C1">
        <w:rPr>
          <w:rFonts w:asciiTheme="majorBidi" w:hAnsiTheme="majorBidi" w:cstheme="majorBidi"/>
          <w:sz w:val="24"/>
          <w:szCs w:val="24"/>
        </w:rPr>
        <w:t>were</w:t>
      </w:r>
      <w:r w:rsidR="007A1423" w:rsidRPr="00915158">
        <w:rPr>
          <w:rFonts w:asciiTheme="majorBidi" w:hAnsiTheme="majorBidi" w:cstheme="majorBidi"/>
          <w:sz w:val="24"/>
          <w:szCs w:val="24"/>
        </w:rPr>
        <w:t xml:space="preserve"> not significantly different among the two compared groups, having a PT</w:t>
      </w:r>
      <w:r w:rsidR="00C358C1">
        <w:rPr>
          <w:rFonts w:asciiTheme="majorBidi" w:hAnsiTheme="majorBidi" w:cstheme="majorBidi"/>
          <w:sz w:val="24"/>
          <w:szCs w:val="24"/>
        </w:rPr>
        <w:t xml:space="preserve"> higher than 14 </w:t>
      </w:r>
      <w:r w:rsidR="007A1423" w:rsidRPr="00915158">
        <w:rPr>
          <w:rFonts w:asciiTheme="majorBidi" w:hAnsiTheme="majorBidi" w:cstheme="majorBidi"/>
          <w:sz w:val="24"/>
          <w:szCs w:val="24"/>
        </w:rPr>
        <w:t>s</w:t>
      </w:r>
      <w:r w:rsidR="00C358C1">
        <w:rPr>
          <w:rFonts w:asciiTheme="majorBidi" w:hAnsiTheme="majorBidi" w:cstheme="majorBidi"/>
          <w:sz w:val="24"/>
          <w:szCs w:val="24"/>
        </w:rPr>
        <w:t>econds</w:t>
      </w:r>
      <w:r w:rsidR="007A1423" w:rsidRPr="00915158">
        <w:rPr>
          <w:rFonts w:asciiTheme="majorBidi" w:hAnsiTheme="majorBidi" w:cstheme="majorBidi"/>
          <w:sz w:val="24"/>
          <w:szCs w:val="24"/>
        </w:rPr>
        <w:t xml:space="preserve"> significantly </w:t>
      </w:r>
      <w:r w:rsidRPr="00915158">
        <w:rPr>
          <w:rFonts w:asciiTheme="majorBidi" w:hAnsiTheme="majorBidi" w:cstheme="majorBidi"/>
          <w:sz w:val="24"/>
          <w:szCs w:val="24"/>
        </w:rPr>
        <w:t xml:space="preserve">correlated with mortality </w:t>
      </w:r>
      <w:r w:rsidR="007A1423" w:rsidRPr="00915158">
        <w:rPr>
          <w:rFonts w:asciiTheme="majorBidi" w:hAnsiTheme="majorBidi" w:cstheme="majorBidi"/>
          <w:sz w:val="24"/>
          <w:szCs w:val="24"/>
        </w:rPr>
        <w:t>(P=0.003)</w:t>
      </w:r>
      <w:r w:rsidRPr="00915158">
        <w:rPr>
          <w:rFonts w:asciiTheme="majorBidi" w:hAnsiTheme="majorBidi" w:cstheme="majorBidi"/>
          <w:sz w:val="24"/>
          <w:szCs w:val="24"/>
        </w:rPr>
        <w:t>.</w:t>
      </w:r>
    </w:p>
    <w:p w:rsidR="0064793D" w:rsidRPr="00915158" w:rsidRDefault="0064793D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D-dimer was checked in 44 patients and it was higher than 0.4 mcg/mL in 93% of them, and the mean level of D-dimer was significantly higher </w:t>
      </w:r>
      <w:r w:rsidR="00637F67" w:rsidRPr="00915158">
        <w:rPr>
          <w:rFonts w:asciiTheme="majorBidi" w:hAnsiTheme="majorBidi" w:cstheme="majorBidi"/>
          <w:sz w:val="24"/>
          <w:szCs w:val="24"/>
        </w:rPr>
        <w:t>in no</w:t>
      </w:r>
      <w:r w:rsidR="000D6348" w:rsidRPr="00915158">
        <w:rPr>
          <w:rFonts w:asciiTheme="majorBidi" w:hAnsiTheme="majorBidi" w:cstheme="majorBidi"/>
          <w:sz w:val="24"/>
          <w:szCs w:val="24"/>
        </w:rPr>
        <w:t>n</w:t>
      </w:r>
      <w:r w:rsidR="00637F67" w:rsidRPr="00915158">
        <w:rPr>
          <w:rFonts w:asciiTheme="majorBidi" w:hAnsiTheme="majorBidi" w:cstheme="majorBidi"/>
          <w:sz w:val="24"/>
          <w:szCs w:val="24"/>
        </w:rPr>
        <w:t xml:space="preserve">-survived patients than the survivors (2.8 mcg/mL vs 1.5 mcg/mL, P=0.024). FDP and fibrinogen were also checked in </w:t>
      </w:r>
      <w:r w:rsidR="00C358C1">
        <w:rPr>
          <w:rFonts w:asciiTheme="majorBidi" w:hAnsiTheme="majorBidi" w:cstheme="majorBidi"/>
          <w:sz w:val="24"/>
          <w:szCs w:val="24"/>
        </w:rPr>
        <w:t>a limited number of patients, but</w:t>
      </w:r>
      <w:r w:rsidR="00637F67" w:rsidRPr="00915158">
        <w:rPr>
          <w:rFonts w:asciiTheme="majorBidi" w:hAnsiTheme="majorBidi" w:cstheme="majorBidi"/>
          <w:sz w:val="24"/>
          <w:szCs w:val="24"/>
        </w:rPr>
        <w:t xml:space="preserve"> they had no correlation with mortality.</w:t>
      </w:r>
    </w:p>
    <w:p w:rsidR="00767AC9" w:rsidRPr="00915158" w:rsidRDefault="00BC05C8" w:rsidP="00E401D4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LDH </w:t>
      </w:r>
      <w:r w:rsidR="00522381" w:rsidRPr="00915158">
        <w:rPr>
          <w:rFonts w:asciiTheme="majorBidi" w:hAnsiTheme="majorBidi" w:cstheme="majorBidi"/>
          <w:sz w:val="24"/>
          <w:szCs w:val="24"/>
        </w:rPr>
        <w:t xml:space="preserve">was checked in 111 patients </w:t>
      </w:r>
      <w:r w:rsidR="00106E15" w:rsidRPr="00915158">
        <w:rPr>
          <w:rFonts w:asciiTheme="majorBidi" w:hAnsiTheme="majorBidi" w:cstheme="majorBidi"/>
          <w:sz w:val="24"/>
          <w:szCs w:val="24"/>
        </w:rPr>
        <w:t>and</w:t>
      </w:r>
      <w:r w:rsidR="00F31F6A" w:rsidRPr="00915158">
        <w:rPr>
          <w:rFonts w:asciiTheme="majorBidi" w:hAnsiTheme="majorBidi" w:cstheme="majorBidi"/>
          <w:sz w:val="24"/>
          <w:szCs w:val="24"/>
        </w:rPr>
        <w:t xml:space="preserve"> it was higher than </w:t>
      </w:r>
      <w:r w:rsidR="00E401D4">
        <w:rPr>
          <w:rFonts w:asciiTheme="majorBidi" w:hAnsiTheme="majorBidi" w:cstheme="majorBidi"/>
          <w:sz w:val="24"/>
          <w:szCs w:val="24"/>
        </w:rPr>
        <w:t>normal limit (i.e. &gt;480</w:t>
      </w:r>
      <w:r w:rsidR="0040671F">
        <w:rPr>
          <w:rFonts w:asciiTheme="majorBidi" w:hAnsiTheme="majorBidi" w:cstheme="majorBidi"/>
          <w:sz w:val="24"/>
          <w:szCs w:val="24"/>
        </w:rPr>
        <w:t xml:space="preserve"> </w:t>
      </w:r>
      <w:r w:rsidR="00F31F6A" w:rsidRPr="00915158">
        <w:rPr>
          <w:rFonts w:asciiTheme="majorBidi" w:hAnsiTheme="majorBidi" w:cstheme="majorBidi"/>
          <w:sz w:val="24"/>
          <w:szCs w:val="24"/>
        </w:rPr>
        <w:t>U/L</w:t>
      </w:r>
      <w:r w:rsidR="00E401D4">
        <w:rPr>
          <w:rFonts w:asciiTheme="majorBidi" w:hAnsiTheme="majorBidi" w:cstheme="majorBidi"/>
          <w:sz w:val="24"/>
          <w:szCs w:val="24"/>
        </w:rPr>
        <w:t>) in 85.6</w:t>
      </w:r>
      <w:r w:rsidR="00F31F6A" w:rsidRPr="00915158">
        <w:rPr>
          <w:rFonts w:asciiTheme="majorBidi" w:hAnsiTheme="majorBidi" w:cstheme="majorBidi"/>
          <w:sz w:val="24"/>
          <w:szCs w:val="24"/>
        </w:rPr>
        <w:t>% of them</w:t>
      </w:r>
      <w:r w:rsidR="003A286C" w:rsidRPr="00915158">
        <w:rPr>
          <w:rFonts w:asciiTheme="majorBidi" w:hAnsiTheme="majorBidi" w:cstheme="majorBidi"/>
          <w:sz w:val="24"/>
          <w:szCs w:val="24"/>
        </w:rPr>
        <w:t xml:space="preserve"> at the time of admission</w:t>
      </w:r>
      <w:r w:rsidR="00F31F6A" w:rsidRPr="00915158">
        <w:rPr>
          <w:rFonts w:asciiTheme="majorBidi" w:hAnsiTheme="majorBidi" w:cstheme="majorBidi"/>
          <w:sz w:val="24"/>
          <w:szCs w:val="24"/>
        </w:rPr>
        <w:t xml:space="preserve">. </w:t>
      </w:r>
      <w:r w:rsidR="00C358C1">
        <w:rPr>
          <w:rFonts w:asciiTheme="majorBidi" w:hAnsiTheme="majorBidi" w:cstheme="majorBidi"/>
          <w:sz w:val="24"/>
          <w:szCs w:val="24"/>
        </w:rPr>
        <w:t>The</w:t>
      </w:r>
      <w:r w:rsidR="00F31F6A" w:rsidRPr="00915158">
        <w:rPr>
          <w:rFonts w:asciiTheme="majorBidi" w:hAnsiTheme="majorBidi" w:cstheme="majorBidi"/>
          <w:sz w:val="24"/>
          <w:szCs w:val="24"/>
        </w:rPr>
        <w:t xml:space="preserve"> mean level</w:t>
      </w:r>
      <w:r w:rsidR="00C358C1">
        <w:rPr>
          <w:rFonts w:asciiTheme="majorBidi" w:hAnsiTheme="majorBidi" w:cstheme="majorBidi"/>
          <w:sz w:val="24"/>
          <w:szCs w:val="24"/>
        </w:rPr>
        <w:t xml:space="preserve"> of LDH</w:t>
      </w:r>
      <w:r w:rsidR="00F31F6A" w:rsidRPr="00915158">
        <w:rPr>
          <w:rFonts w:asciiTheme="majorBidi" w:hAnsiTheme="majorBidi" w:cstheme="majorBidi"/>
          <w:sz w:val="24"/>
          <w:szCs w:val="24"/>
        </w:rPr>
        <w:t xml:space="preserve"> was higher in non-</w:t>
      </w:r>
      <w:r w:rsidR="00106E15" w:rsidRPr="00915158">
        <w:rPr>
          <w:rFonts w:asciiTheme="majorBidi" w:hAnsiTheme="majorBidi" w:cstheme="majorBidi"/>
          <w:sz w:val="24"/>
          <w:szCs w:val="24"/>
        </w:rPr>
        <w:t>survivors, but not significantly (P=0.087).</w:t>
      </w:r>
      <w:r w:rsidR="00CB6A0B" w:rsidRPr="00915158">
        <w:rPr>
          <w:rFonts w:asciiTheme="majorBidi" w:hAnsiTheme="majorBidi" w:cstheme="majorBidi"/>
          <w:sz w:val="24"/>
          <w:szCs w:val="24"/>
        </w:rPr>
        <w:t xml:space="preserve"> F</w:t>
      </w:r>
      <w:r w:rsidRPr="00915158">
        <w:rPr>
          <w:rFonts w:asciiTheme="majorBidi" w:hAnsiTheme="majorBidi" w:cstheme="majorBidi"/>
          <w:sz w:val="24"/>
          <w:szCs w:val="24"/>
        </w:rPr>
        <w:t xml:space="preserve">erritin </w:t>
      </w:r>
      <w:r w:rsidR="00CB6A0B" w:rsidRPr="00915158">
        <w:rPr>
          <w:rFonts w:asciiTheme="majorBidi" w:hAnsiTheme="majorBidi" w:cstheme="majorBidi"/>
          <w:sz w:val="24"/>
          <w:szCs w:val="24"/>
        </w:rPr>
        <w:t xml:space="preserve">was checked in 64 </w:t>
      </w:r>
      <w:r w:rsidR="00767AC9" w:rsidRPr="00915158">
        <w:rPr>
          <w:rFonts w:asciiTheme="majorBidi" w:hAnsiTheme="majorBidi" w:cstheme="majorBidi"/>
          <w:sz w:val="24"/>
          <w:szCs w:val="24"/>
        </w:rPr>
        <w:t xml:space="preserve">patients and it was higher than 500 ng/mL in 48.4% of these patients. The mean </w:t>
      </w:r>
      <w:r w:rsidR="00C358C1">
        <w:rPr>
          <w:rFonts w:asciiTheme="majorBidi" w:hAnsiTheme="majorBidi" w:cstheme="majorBidi"/>
          <w:sz w:val="24"/>
          <w:szCs w:val="24"/>
        </w:rPr>
        <w:t>level of ferritin</w:t>
      </w:r>
      <w:r w:rsidR="00767AC9" w:rsidRPr="00915158">
        <w:rPr>
          <w:rFonts w:asciiTheme="majorBidi" w:hAnsiTheme="majorBidi" w:cstheme="majorBidi"/>
          <w:sz w:val="24"/>
          <w:szCs w:val="24"/>
        </w:rPr>
        <w:t xml:space="preserve"> was higher in the non-survived patients and having a ferritin higher than 500 ng/mL significantly correlated with mortality (P=0.027).</w:t>
      </w:r>
    </w:p>
    <w:p w:rsidR="00A80222" w:rsidRPr="00915158" w:rsidRDefault="00A80222" w:rsidP="00915158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</w:rPr>
      </w:pPr>
      <w:r w:rsidRPr="00915158">
        <w:rPr>
          <w:rFonts w:asciiTheme="majorBidi" w:hAnsiTheme="majorBidi" w:cstheme="majorBidi"/>
          <w:b/>
          <w:bCs/>
        </w:rPr>
        <w:t>Table 2. Laboratory characteristics in survivors vs. non survivors</w:t>
      </w:r>
    </w:p>
    <w:tbl>
      <w:tblPr>
        <w:tblStyle w:val="GridTable6Colorful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5"/>
        <w:gridCol w:w="2520"/>
        <w:gridCol w:w="2372"/>
        <w:gridCol w:w="1123"/>
      </w:tblGrid>
      <w:tr w:rsidR="00915158" w:rsidRPr="00915158" w:rsidTr="005B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Characteristics</w:t>
            </w:r>
          </w:p>
        </w:tc>
        <w:tc>
          <w:tcPr>
            <w:tcW w:w="252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Survivors </w:t>
            </w:r>
          </w:p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Mean (SD)</w:t>
            </w:r>
          </w:p>
        </w:tc>
        <w:tc>
          <w:tcPr>
            <w:tcW w:w="237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Non survivors </w:t>
            </w:r>
          </w:p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Mean (SD)</w:t>
            </w:r>
          </w:p>
        </w:tc>
        <w:tc>
          <w:tcPr>
            <w:tcW w:w="112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P-value</w:t>
            </w:r>
          </w:p>
        </w:tc>
      </w:tr>
      <w:tr w:rsidR="00915158" w:rsidRPr="00915158" w:rsidTr="005B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top w:val="double" w:sz="4" w:space="0" w:color="000000"/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LDH</w:t>
            </w:r>
            <w:r w:rsidR="0098269F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(U/L)</w:t>
            </w:r>
          </w:p>
        </w:tc>
        <w:tc>
          <w:tcPr>
            <w:tcW w:w="2520" w:type="dxa"/>
            <w:tcBorders>
              <w:top w:val="double" w:sz="4" w:space="0" w:color="000000"/>
            </w:tcBorders>
          </w:tcPr>
          <w:p w:rsidR="00A80222" w:rsidRPr="00915158" w:rsidRDefault="00106E15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892 (616</w:t>
            </w:r>
            <w:r w:rsidR="00A8022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372" w:type="dxa"/>
            <w:tcBorders>
              <w:top w:val="double" w:sz="4" w:space="0" w:color="000000"/>
            </w:tcBorders>
          </w:tcPr>
          <w:p w:rsidR="00A80222" w:rsidRPr="00915158" w:rsidRDefault="00106E15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1235 (991</w:t>
            </w:r>
            <w:r w:rsidR="00A8022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double" w:sz="4" w:space="0" w:color="000000"/>
              <w:right w:val="double" w:sz="4" w:space="0" w:color="000000"/>
            </w:tcBorders>
          </w:tcPr>
          <w:p w:rsidR="00A80222" w:rsidRPr="00915158" w:rsidRDefault="00106E15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0.087</w:t>
            </w:r>
          </w:p>
        </w:tc>
      </w:tr>
      <w:tr w:rsidR="00915158" w:rsidRPr="00915158" w:rsidTr="005B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Ferritin</w:t>
            </w:r>
            <w:r w:rsidR="0098269F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(ng/mL)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1764 (8211)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2477 (3487)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0.631</w:t>
            </w:r>
          </w:p>
        </w:tc>
      </w:tr>
      <w:tr w:rsidR="00915158" w:rsidRPr="00915158" w:rsidTr="005B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Fibrinogen</w:t>
            </w:r>
            <w:r w:rsidR="00C8413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(</w:t>
            </w:r>
            <w:r w:rsidR="00C8413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mg/dL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608 (255)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532 (377)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0.641</w:t>
            </w:r>
          </w:p>
        </w:tc>
      </w:tr>
      <w:tr w:rsidR="00915158" w:rsidRPr="00915158" w:rsidTr="005B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FDP</w:t>
            </w:r>
            <w:r w:rsidR="004A0E9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(</w:t>
            </w:r>
            <w:r w:rsidR="00C8413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mg/L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14.0 (5.6)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14.1 (6.2)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0.978</w:t>
            </w:r>
          </w:p>
        </w:tc>
      </w:tr>
      <w:tr w:rsidR="00915158" w:rsidRPr="00915158" w:rsidTr="005B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D dimer</w:t>
            </w:r>
            <w:r w:rsidR="004A0E9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r w:rsidR="004417E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(</w:t>
            </w:r>
            <w:r w:rsidR="004A0E99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mcg/mL</w:t>
            </w:r>
            <w:r w:rsidR="004417E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 (1.9)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2.8 (2.9)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5B2EA7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0.024</w:t>
            </w:r>
          </w:p>
        </w:tc>
      </w:tr>
      <w:tr w:rsidR="00915158" w:rsidRPr="00915158" w:rsidTr="005B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PT</w:t>
            </w:r>
            <w:r w:rsidR="00C8413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(Seconds to clot)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15.7 (8.0)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17.9 (8.2)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0.116</w:t>
            </w:r>
          </w:p>
        </w:tc>
      </w:tr>
      <w:tr w:rsidR="00915158" w:rsidRPr="00915158" w:rsidTr="005B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PTT</w:t>
            </w:r>
            <w:r w:rsidR="00C84132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(Seconds to clot)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28.4 (14.1)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28.1 (14.9)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0.905</w:t>
            </w:r>
          </w:p>
        </w:tc>
      </w:tr>
      <w:tr w:rsidR="00915158" w:rsidRPr="00915158" w:rsidTr="005B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top w:val="double" w:sz="4" w:space="0" w:color="000000"/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ESR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(mm/hr)</w:t>
            </w:r>
          </w:p>
        </w:tc>
        <w:tc>
          <w:tcPr>
            <w:tcW w:w="2520" w:type="dxa"/>
            <w:tcBorders>
              <w:top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52 (31)</w:t>
            </w:r>
          </w:p>
        </w:tc>
        <w:tc>
          <w:tcPr>
            <w:tcW w:w="2372" w:type="dxa"/>
            <w:tcBorders>
              <w:top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65 (40)</w:t>
            </w:r>
          </w:p>
        </w:tc>
        <w:tc>
          <w:tcPr>
            <w:tcW w:w="1123" w:type="dxa"/>
            <w:tcBorders>
              <w:top w:val="double" w:sz="4" w:space="0" w:color="000000"/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0.006</w:t>
            </w:r>
          </w:p>
        </w:tc>
      </w:tr>
      <w:tr w:rsidR="00915158" w:rsidRPr="00915158" w:rsidTr="005B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CRP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(mg/L)</w:t>
            </w:r>
          </w:p>
        </w:tc>
        <w:tc>
          <w:tcPr>
            <w:tcW w:w="2520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50.6 (41.5)</w:t>
            </w:r>
          </w:p>
        </w:tc>
        <w:tc>
          <w:tcPr>
            <w:tcW w:w="2372" w:type="dxa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74.0 (29.6)</w:t>
            </w:r>
          </w:p>
        </w:tc>
        <w:tc>
          <w:tcPr>
            <w:tcW w:w="1123" w:type="dxa"/>
            <w:tcBorders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0.000</w:t>
            </w:r>
          </w:p>
        </w:tc>
      </w:tr>
      <w:tr w:rsidR="00915158" w:rsidRPr="00915158" w:rsidTr="005B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5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C5E0B3" w:themeFill="accent6" w:themeFillTint="66"/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Procalcitonin</w:t>
            </w:r>
            <w:r w:rsidR="005B26B5"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(ng/mL)</w:t>
            </w:r>
          </w:p>
        </w:tc>
        <w:tc>
          <w:tcPr>
            <w:tcW w:w="2520" w:type="dxa"/>
            <w:tcBorders>
              <w:bottom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1.48 (4.56)</w:t>
            </w:r>
          </w:p>
        </w:tc>
        <w:tc>
          <w:tcPr>
            <w:tcW w:w="2372" w:type="dxa"/>
            <w:tcBorders>
              <w:bottom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6.48 (22.71)</w:t>
            </w:r>
          </w:p>
        </w:tc>
        <w:tc>
          <w:tcPr>
            <w:tcW w:w="1123" w:type="dxa"/>
            <w:tcBorders>
              <w:bottom w:val="double" w:sz="4" w:space="0" w:color="000000"/>
              <w:right w:val="double" w:sz="4" w:space="0" w:color="000000"/>
            </w:tcBorders>
          </w:tcPr>
          <w:p w:rsidR="00A80222" w:rsidRPr="00915158" w:rsidRDefault="00A80222" w:rsidP="00915158">
            <w:p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  <w:r w:rsidRPr="00915158"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  <w:t>0.013</w:t>
            </w:r>
          </w:p>
        </w:tc>
      </w:tr>
    </w:tbl>
    <w:p w:rsidR="00A80222" w:rsidRPr="00915158" w:rsidRDefault="00A80222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:rsidR="00545AC6" w:rsidRPr="00915158" w:rsidRDefault="00545AC6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915158">
        <w:rPr>
          <w:rFonts w:asciiTheme="majorBidi" w:hAnsiTheme="majorBidi" w:cstheme="majorBidi"/>
          <w:sz w:val="24"/>
          <w:szCs w:val="24"/>
          <w:u w:val="single"/>
        </w:rPr>
        <w:t>Acute inflammatory laboratory markers</w:t>
      </w:r>
    </w:p>
    <w:p w:rsidR="00545AC6" w:rsidRDefault="00B246A3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Higher than normal </w:t>
      </w:r>
      <w:r w:rsidR="00545AC6" w:rsidRPr="00915158">
        <w:rPr>
          <w:rFonts w:asciiTheme="majorBidi" w:hAnsiTheme="majorBidi" w:cstheme="majorBidi"/>
          <w:sz w:val="24"/>
          <w:szCs w:val="24"/>
        </w:rPr>
        <w:t>ESR</w:t>
      </w:r>
      <w:r w:rsidR="002D4C8C" w:rsidRPr="00915158">
        <w:rPr>
          <w:rFonts w:asciiTheme="majorBidi" w:hAnsiTheme="majorBidi" w:cstheme="majorBidi"/>
          <w:sz w:val="24"/>
          <w:szCs w:val="24"/>
        </w:rPr>
        <w:t xml:space="preserve"> (i.</w:t>
      </w:r>
      <w:r w:rsidR="00545AC6" w:rsidRPr="00915158">
        <w:rPr>
          <w:rFonts w:asciiTheme="majorBidi" w:hAnsiTheme="majorBidi" w:cstheme="majorBidi"/>
          <w:sz w:val="24"/>
          <w:szCs w:val="24"/>
        </w:rPr>
        <w:t>e. &gt;15</w:t>
      </w:r>
      <w:r w:rsidR="005B26B5" w:rsidRPr="00915158">
        <w:rPr>
          <w:rFonts w:asciiTheme="majorBidi" w:hAnsiTheme="majorBidi" w:cstheme="majorBidi"/>
          <w:sz w:val="24"/>
          <w:szCs w:val="24"/>
        </w:rPr>
        <w:t xml:space="preserve"> mm/hr</w:t>
      </w:r>
      <w:r w:rsidR="00FB3A07">
        <w:rPr>
          <w:rFonts w:asciiTheme="majorBidi" w:hAnsiTheme="majorBidi" w:cstheme="majorBidi"/>
          <w:sz w:val="24"/>
          <w:szCs w:val="24"/>
        </w:rPr>
        <w:t>) and CRP (i.e. &gt; 6</w:t>
      </w:r>
      <w:r w:rsidR="005B26B5" w:rsidRPr="00915158">
        <w:rPr>
          <w:rFonts w:asciiTheme="majorBidi" w:hAnsiTheme="majorBidi" w:cstheme="majorBidi"/>
          <w:sz w:val="24"/>
          <w:szCs w:val="24"/>
        </w:rPr>
        <w:t xml:space="preserve"> mg/L</w:t>
      </w:r>
      <w:r w:rsidR="00FB3A07">
        <w:rPr>
          <w:rFonts w:asciiTheme="majorBidi" w:hAnsiTheme="majorBidi" w:cstheme="majorBidi"/>
          <w:sz w:val="24"/>
          <w:szCs w:val="24"/>
        </w:rPr>
        <w:t>) were seen in 75.1% and 90</w:t>
      </w:r>
      <w:r w:rsidR="00545AC6" w:rsidRPr="00915158">
        <w:rPr>
          <w:rFonts w:asciiTheme="majorBidi" w:hAnsiTheme="majorBidi" w:cstheme="majorBidi"/>
          <w:sz w:val="24"/>
          <w:szCs w:val="24"/>
        </w:rPr>
        <w:t xml:space="preserve">% of patients on admission, respectively. </w:t>
      </w:r>
      <w:r w:rsidR="005B26B5" w:rsidRPr="00915158">
        <w:rPr>
          <w:rFonts w:asciiTheme="majorBidi" w:hAnsiTheme="majorBidi" w:cstheme="majorBidi"/>
          <w:sz w:val="24"/>
          <w:szCs w:val="24"/>
        </w:rPr>
        <w:t>P</w:t>
      </w:r>
      <w:r w:rsidR="00545AC6" w:rsidRPr="00915158">
        <w:rPr>
          <w:rFonts w:asciiTheme="majorBidi" w:hAnsiTheme="majorBidi" w:cstheme="majorBidi"/>
          <w:sz w:val="24"/>
          <w:szCs w:val="24"/>
        </w:rPr>
        <w:t xml:space="preserve">rocalcitonin was </w:t>
      </w:r>
      <w:r w:rsidR="005B26B5" w:rsidRPr="00915158">
        <w:rPr>
          <w:rFonts w:asciiTheme="majorBidi" w:hAnsiTheme="majorBidi" w:cstheme="majorBidi"/>
          <w:sz w:val="24"/>
          <w:szCs w:val="24"/>
        </w:rPr>
        <w:t xml:space="preserve">checked in 68 patients and it was </w:t>
      </w:r>
      <w:r w:rsidR="00545AC6" w:rsidRPr="00915158">
        <w:rPr>
          <w:rFonts w:asciiTheme="majorBidi" w:hAnsiTheme="majorBidi" w:cstheme="majorBidi"/>
          <w:sz w:val="24"/>
          <w:szCs w:val="24"/>
        </w:rPr>
        <w:t>normal (i.e. &lt;0.5</w:t>
      </w:r>
      <w:r w:rsidR="005B26B5" w:rsidRPr="00915158">
        <w:rPr>
          <w:rFonts w:asciiTheme="majorBidi" w:hAnsiTheme="majorBidi" w:cstheme="majorBidi"/>
          <w:sz w:val="24"/>
          <w:szCs w:val="24"/>
        </w:rPr>
        <w:t xml:space="preserve"> ng/mL</w:t>
      </w:r>
      <w:r w:rsidR="00545AC6" w:rsidRPr="00915158">
        <w:rPr>
          <w:rFonts w:asciiTheme="majorBidi" w:hAnsiTheme="majorBidi" w:cstheme="majorBidi"/>
          <w:sz w:val="24"/>
          <w:szCs w:val="24"/>
        </w:rPr>
        <w:t>) in 67.6% of</w:t>
      </w:r>
      <w:r w:rsidR="005B26B5" w:rsidRPr="00915158">
        <w:rPr>
          <w:rFonts w:asciiTheme="majorBidi" w:hAnsiTheme="majorBidi" w:cstheme="majorBidi"/>
          <w:sz w:val="24"/>
          <w:szCs w:val="24"/>
        </w:rPr>
        <w:t xml:space="preserve"> them </w:t>
      </w:r>
      <w:r w:rsidR="00545AC6" w:rsidRPr="00915158">
        <w:rPr>
          <w:rFonts w:asciiTheme="majorBidi" w:hAnsiTheme="majorBidi" w:cstheme="majorBidi"/>
          <w:sz w:val="24"/>
          <w:szCs w:val="24"/>
        </w:rPr>
        <w:t>at the time of admission. The mean level of all three markers were significantly higher in th</w:t>
      </w:r>
      <w:r w:rsidR="000566FD" w:rsidRPr="00915158">
        <w:rPr>
          <w:rFonts w:asciiTheme="majorBidi" w:hAnsiTheme="majorBidi" w:cstheme="majorBidi"/>
          <w:sz w:val="24"/>
          <w:szCs w:val="24"/>
        </w:rPr>
        <w:t>e non-survived patients (table 2</w:t>
      </w:r>
      <w:r w:rsidR="00545AC6" w:rsidRPr="00915158">
        <w:rPr>
          <w:rFonts w:asciiTheme="majorBidi" w:hAnsiTheme="majorBidi" w:cstheme="majorBidi"/>
          <w:sz w:val="24"/>
          <w:szCs w:val="24"/>
        </w:rPr>
        <w:t>). However, the mentioned markers did not significantly correlate with the probability of ICU admission or the duration of hospitalization.</w:t>
      </w:r>
      <w:r w:rsidR="0001646C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1558C1" w:rsidRPr="00915158">
        <w:rPr>
          <w:rFonts w:asciiTheme="majorBidi" w:hAnsiTheme="majorBidi" w:cstheme="majorBidi"/>
          <w:sz w:val="24"/>
          <w:szCs w:val="24"/>
        </w:rPr>
        <w:t>Lymphocyte</w:t>
      </w:r>
      <w:r w:rsidR="001558C1" w:rsidRPr="00915158">
        <w:rPr>
          <w:rFonts w:ascii="Cambria Math" w:hAnsi="Cambria Math" w:cs="Cambria Math"/>
          <w:sz w:val="24"/>
          <w:szCs w:val="24"/>
        </w:rPr>
        <w:t>‐</w:t>
      </w:r>
      <w:r w:rsidR="001558C1" w:rsidRPr="00915158">
        <w:rPr>
          <w:rFonts w:asciiTheme="majorBidi" w:hAnsiTheme="majorBidi" w:cstheme="majorBidi"/>
          <w:sz w:val="24"/>
          <w:szCs w:val="24"/>
        </w:rPr>
        <w:t>to</w:t>
      </w:r>
      <w:r w:rsidR="001558C1" w:rsidRPr="00915158">
        <w:rPr>
          <w:rFonts w:ascii="Cambria Math" w:hAnsi="Cambria Math" w:cs="Cambria Math"/>
          <w:sz w:val="24"/>
          <w:szCs w:val="24"/>
        </w:rPr>
        <w:t>‐</w:t>
      </w:r>
      <w:r w:rsidR="001558C1" w:rsidRPr="00915158">
        <w:rPr>
          <w:rFonts w:asciiTheme="majorBidi" w:hAnsiTheme="majorBidi" w:cstheme="majorBidi"/>
          <w:sz w:val="24"/>
          <w:szCs w:val="24"/>
        </w:rPr>
        <w:t>C</w:t>
      </w:r>
      <w:r w:rsidR="001558C1" w:rsidRPr="00915158">
        <w:rPr>
          <w:rFonts w:ascii="Cambria Math" w:hAnsi="Cambria Math" w:cs="Cambria Math"/>
          <w:sz w:val="24"/>
          <w:szCs w:val="24"/>
        </w:rPr>
        <w:t>‐</w:t>
      </w:r>
      <w:r w:rsidR="001558C1" w:rsidRPr="00915158">
        <w:rPr>
          <w:rFonts w:asciiTheme="majorBidi" w:hAnsiTheme="majorBidi" w:cstheme="majorBidi"/>
          <w:sz w:val="24"/>
          <w:szCs w:val="24"/>
        </w:rPr>
        <w:t xml:space="preserve">reactive protein ratio (LCR) </w:t>
      </w:r>
      <w:r>
        <w:rPr>
          <w:rFonts w:asciiTheme="majorBidi" w:hAnsiTheme="majorBidi" w:cstheme="majorBidi"/>
          <w:sz w:val="24"/>
          <w:szCs w:val="24"/>
        </w:rPr>
        <w:t xml:space="preserve">which </w:t>
      </w:r>
      <w:r w:rsidR="001558C1" w:rsidRPr="00915158">
        <w:rPr>
          <w:rFonts w:asciiTheme="majorBidi" w:hAnsiTheme="majorBidi" w:cstheme="majorBidi"/>
          <w:sz w:val="24"/>
          <w:szCs w:val="24"/>
        </w:rPr>
        <w:t>is an established inflammation marker reflective of systemic inflammatory response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1558C1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1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12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13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1558C1" w:rsidRPr="00915158">
        <w:rPr>
          <w:rFonts w:asciiTheme="majorBidi" w:hAnsiTheme="majorBidi" w:cstheme="majorBidi"/>
          <w:sz w:val="24"/>
          <w:szCs w:val="24"/>
        </w:rPr>
        <w:t xml:space="preserve"> was also calculated, although not statistically significant (P=0.062), it was much lower in the non-survived patients compared with the survivors (39 vs 203). </w:t>
      </w:r>
      <w:r w:rsidR="00D82DFB" w:rsidRPr="00915158">
        <w:rPr>
          <w:rFonts w:asciiTheme="majorBidi" w:hAnsiTheme="majorBidi" w:cstheme="majorBidi"/>
          <w:sz w:val="24"/>
          <w:szCs w:val="24"/>
        </w:rPr>
        <w:t>The correlations of CBC parameters and inflammatory indicator levels in non-survived patients are shown in figure 2.</w:t>
      </w:r>
    </w:p>
    <w:p w:rsid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:rsidR="00275052" w:rsidRP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</w:rPr>
      </w:pPr>
      <w:r w:rsidRPr="00915158">
        <w:rPr>
          <w:rFonts w:asciiTheme="majorBidi" w:hAnsiTheme="majorBidi" w:cstheme="majorBidi"/>
          <w:b/>
          <w:bCs/>
        </w:rPr>
        <w:t>Figure 2. Correlation analysis of CBC parameters and inflammatory indicator levels in non-survived COVID-19 patients. Solid line: fitted curve; dashed line: standardized mean difference (SMD) of the fitted curve.</w:t>
      </w:r>
    </w:p>
    <w:p w:rsidR="001F06AE" w:rsidRPr="00915158" w:rsidRDefault="005411DC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DAFFD58" wp14:editId="5396D3C9">
            <wp:extent cx="2724150" cy="1619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C47B669" wp14:editId="462DC5AB">
            <wp:extent cx="2733675" cy="16192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1B1" w:rsidRPr="00915158" w:rsidRDefault="005411DC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504FDB2" wp14:editId="0B8587EF">
            <wp:extent cx="2733675" cy="16192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CBC8F61" wp14:editId="08D52E85">
            <wp:extent cx="2733675" cy="1619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11B1" w:rsidRPr="00915158">
        <w:rPr>
          <w:rFonts w:asciiTheme="majorBidi" w:hAnsiTheme="majorBidi" w:cstheme="majorBidi"/>
          <w:sz w:val="24"/>
          <w:szCs w:val="24"/>
        </w:rPr>
        <w:br/>
      </w:r>
      <w:r w:rsidR="000711B1"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5665338" wp14:editId="7193804E">
            <wp:extent cx="2733675" cy="16192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11B1" w:rsidRPr="00915158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2AE1F01" wp14:editId="2CE84E25">
            <wp:extent cx="2733675" cy="16192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9AA" w:rsidRPr="00915158" w:rsidRDefault="00CA19AA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158">
        <w:rPr>
          <w:rFonts w:asciiTheme="majorBidi" w:hAnsiTheme="majorBidi" w:cstheme="majorBidi"/>
          <w:b/>
          <w:bCs/>
          <w:sz w:val="24"/>
          <w:szCs w:val="24"/>
        </w:rPr>
        <w:t>Discussion:</w:t>
      </w:r>
    </w:p>
    <w:p w:rsidR="00083148" w:rsidRPr="00915158" w:rsidRDefault="00083148" w:rsidP="006C7E9F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lastRenderedPageBreak/>
        <w:t>This study provides an expansive record on the demographic</w:t>
      </w:r>
      <w:r w:rsidR="006C7E9F">
        <w:rPr>
          <w:rFonts w:asciiTheme="majorBidi" w:hAnsiTheme="majorBidi" w:cstheme="majorBidi"/>
          <w:sz w:val="24"/>
          <w:szCs w:val="24"/>
        </w:rPr>
        <w:t xml:space="preserve"> data</w:t>
      </w:r>
      <w:r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="006C7E9F">
        <w:rPr>
          <w:rFonts w:asciiTheme="majorBidi" w:hAnsiTheme="majorBidi" w:cstheme="majorBidi"/>
          <w:sz w:val="24"/>
          <w:szCs w:val="24"/>
        </w:rPr>
        <w:t xml:space="preserve">hematology related </w:t>
      </w:r>
      <w:r w:rsidRPr="00915158">
        <w:rPr>
          <w:rFonts w:asciiTheme="majorBidi" w:hAnsiTheme="majorBidi" w:cstheme="majorBidi"/>
          <w:sz w:val="24"/>
          <w:szCs w:val="24"/>
        </w:rPr>
        <w:t>laboratory</w:t>
      </w:r>
      <w:r w:rsidR="006C7E9F">
        <w:rPr>
          <w:rFonts w:asciiTheme="majorBidi" w:hAnsiTheme="majorBidi" w:cstheme="majorBidi"/>
          <w:sz w:val="24"/>
          <w:szCs w:val="24"/>
        </w:rPr>
        <w:t xml:space="preserve"> parameters</w:t>
      </w:r>
      <w:r w:rsidRPr="00915158">
        <w:rPr>
          <w:rFonts w:asciiTheme="majorBidi" w:hAnsiTheme="majorBidi" w:cstheme="majorBidi"/>
          <w:sz w:val="24"/>
          <w:szCs w:val="24"/>
        </w:rPr>
        <w:t xml:space="preserve">, and outcomes of hospitalized patients with COVID-19 in a tertiary care hospital during the peak of SARS-CoV-2 outbreak in Tehran, Iran. About 24% of our patients had died during their admission and we tried to figure out the </w:t>
      </w:r>
      <w:r w:rsidR="006C7E9F">
        <w:rPr>
          <w:rFonts w:asciiTheme="majorBidi" w:hAnsiTheme="majorBidi" w:cstheme="majorBidi"/>
          <w:sz w:val="24"/>
          <w:szCs w:val="24"/>
        </w:rPr>
        <w:t>hematologic</w:t>
      </w:r>
      <w:r w:rsidRPr="00915158">
        <w:rPr>
          <w:rFonts w:asciiTheme="majorBidi" w:hAnsiTheme="majorBidi" w:cstheme="majorBidi"/>
          <w:sz w:val="24"/>
          <w:szCs w:val="24"/>
        </w:rPr>
        <w:t xml:space="preserve"> indicators associated with mortality. </w:t>
      </w:r>
    </w:p>
    <w:p w:rsidR="00083148" w:rsidRPr="00915158" w:rsidRDefault="0008314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In previous studies, older age and male sex have been reported to be risk factors allied to in-hospital death.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4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15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16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F90FAF">
        <w:rPr>
          <w:rFonts w:asciiTheme="majorBidi" w:hAnsiTheme="majorBidi" w:cstheme="majorBidi"/>
          <w:sz w:val="24"/>
          <w:szCs w:val="24"/>
        </w:rPr>
        <w:t xml:space="preserve"> </w:t>
      </w:r>
      <w:r w:rsidRPr="00915158">
        <w:rPr>
          <w:rFonts w:asciiTheme="majorBidi" w:hAnsiTheme="majorBidi" w:cstheme="majorBidi"/>
          <w:sz w:val="24"/>
          <w:szCs w:val="24"/>
        </w:rPr>
        <w:t xml:space="preserve">The mean age of our hospitalized patients was 60 years </w:t>
      </w:r>
      <w:r w:rsidR="00F90FAF">
        <w:rPr>
          <w:rFonts w:asciiTheme="majorBidi" w:hAnsiTheme="majorBidi" w:cstheme="majorBidi"/>
          <w:sz w:val="24"/>
          <w:szCs w:val="24"/>
        </w:rPr>
        <w:t>and the mean age in the non-</w:t>
      </w:r>
      <w:r w:rsidRPr="00915158">
        <w:rPr>
          <w:rFonts w:asciiTheme="majorBidi" w:hAnsiTheme="majorBidi" w:cstheme="majorBidi"/>
          <w:sz w:val="24"/>
          <w:szCs w:val="24"/>
        </w:rPr>
        <w:t xml:space="preserve">survivors was almost 10 years higher than the </w:t>
      </w:r>
      <w:r w:rsidR="00F90FAF">
        <w:rPr>
          <w:rFonts w:asciiTheme="majorBidi" w:hAnsiTheme="majorBidi" w:cstheme="majorBidi"/>
          <w:sz w:val="24"/>
          <w:szCs w:val="24"/>
        </w:rPr>
        <w:t>survivors. About 67% of our non-</w:t>
      </w:r>
      <w:r w:rsidRPr="00915158">
        <w:rPr>
          <w:rFonts w:asciiTheme="majorBidi" w:hAnsiTheme="majorBidi" w:cstheme="majorBidi"/>
          <w:sz w:val="24"/>
          <w:szCs w:val="24"/>
        </w:rPr>
        <w:t>survivors aged more than 60 years. Yang et al</w:t>
      </w:r>
      <w:r w:rsidR="00F90FAF">
        <w:rPr>
          <w:rFonts w:asciiTheme="majorBidi" w:hAnsiTheme="majorBidi" w:cstheme="majorBidi"/>
          <w:sz w:val="24"/>
          <w:szCs w:val="24"/>
        </w:rPr>
        <w:t>. reported that their non-</w:t>
      </w:r>
      <w:r w:rsidRPr="00915158">
        <w:rPr>
          <w:rFonts w:asciiTheme="majorBidi" w:hAnsiTheme="majorBidi" w:cstheme="majorBidi"/>
          <w:sz w:val="24"/>
          <w:szCs w:val="24"/>
        </w:rPr>
        <w:t>survivors were more likely to be male and with older age.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7"/>
      </w:r>
      <w:r w:rsidR="00947A30">
        <w:rPr>
          <w:rFonts w:asciiTheme="majorBidi" w:hAnsiTheme="majorBidi" w:cstheme="majorBidi"/>
          <w:sz w:val="24"/>
          <w:szCs w:val="24"/>
        </w:rPr>
        <w:t xml:space="preserve">] </w:t>
      </w:r>
      <w:r w:rsidRPr="00915158">
        <w:rPr>
          <w:rFonts w:asciiTheme="majorBidi" w:hAnsiTheme="majorBidi" w:cstheme="majorBidi"/>
          <w:sz w:val="24"/>
          <w:szCs w:val="24"/>
        </w:rPr>
        <w:t xml:space="preserve">However, in our study, </w:t>
      </w:r>
      <w:r w:rsidR="00527EA6" w:rsidRPr="00915158">
        <w:rPr>
          <w:rFonts w:asciiTheme="majorBidi" w:hAnsiTheme="majorBidi" w:cstheme="majorBidi"/>
          <w:sz w:val="24"/>
          <w:szCs w:val="24"/>
        </w:rPr>
        <w:t xml:space="preserve">although fatality was more frequent in male patients, </w:t>
      </w:r>
      <w:r w:rsidRPr="00915158">
        <w:rPr>
          <w:rFonts w:asciiTheme="majorBidi" w:hAnsiTheme="majorBidi" w:cstheme="majorBidi"/>
          <w:sz w:val="24"/>
          <w:szCs w:val="24"/>
        </w:rPr>
        <w:t>sex did not signifi</w:t>
      </w:r>
      <w:r w:rsidR="00527EA6" w:rsidRPr="00915158">
        <w:rPr>
          <w:rFonts w:asciiTheme="majorBidi" w:hAnsiTheme="majorBidi" w:cstheme="majorBidi"/>
          <w:sz w:val="24"/>
          <w:szCs w:val="24"/>
        </w:rPr>
        <w:t xml:space="preserve">cantly correlate with mortality. </w:t>
      </w:r>
    </w:p>
    <w:p w:rsidR="00F62703" w:rsidRPr="00915158" w:rsidRDefault="000050F6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It is suggested that imbalance of immune responses and </w:t>
      </w:r>
      <w:r w:rsidR="00BB4669" w:rsidRPr="00915158">
        <w:rPr>
          <w:rFonts w:asciiTheme="majorBidi" w:hAnsiTheme="majorBidi" w:cstheme="majorBidi"/>
          <w:sz w:val="24"/>
          <w:szCs w:val="24"/>
        </w:rPr>
        <w:t>weak adaptive immun</w:t>
      </w:r>
      <w:r w:rsidRPr="00915158">
        <w:rPr>
          <w:rFonts w:asciiTheme="majorBidi" w:hAnsiTheme="majorBidi" w:cstheme="majorBidi"/>
          <w:sz w:val="24"/>
          <w:szCs w:val="24"/>
        </w:rPr>
        <w:t>ity, contribute to severe inflammatory reactions in COVID-19 patients.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8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Pr="00915158">
        <w:rPr>
          <w:rFonts w:asciiTheme="majorBidi" w:hAnsiTheme="majorBidi" w:cstheme="majorBidi"/>
          <w:sz w:val="24"/>
          <w:szCs w:val="24"/>
        </w:rPr>
        <w:t xml:space="preserve"> Hence</w:t>
      </w:r>
      <w:r w:rsidR="00BB4669"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Pr="00915158">
        <w:rPr>
          <w:rFonts w:asciiTheme="majorBidi" w:hAnsiTheme="majorBidi" w:cstheme="majorBidi"/>
          <w:sz w:val="24"/>
          <w:szCs w:val="24"/>
        </w:rPr>
        <w:t xml:space="preserve">peripheral WBC count, NLR, and PLR as </w:t>
      </w:r>
      <w:r w:rsidR="00BB4669" w:rsidRPr="00915158">
        <w:rPr>
          <w:rFonts w:asciiTheme="majorBidi" w:hAnsiTheme="majorBidi" w:cstheme="majorBidi"/>
          <w:sz w:val="24"/>
          <w:szCs w:val="24"/>
        </w:rPr>
        <w:t>represent</w:t>
      </w:r>
      <w:r w:rsidRPr="00915158">
        <w:rPr>
          <w:rFonts w:asciiTheme="majorBidi" w:hAnsiTheme="majorBidi" w:cstheme="majorBidi"/>
          <w:sz w:val="24"/>
          <w:szCs w:val="24"/>
        </w:rPr>
        <w:t>atives of</w:t>
      </w:r>
      <w:r w:rsidR="00BB4669" w:rsidRPr="00915158">
        <w:rPr>
          <w:rFonts w:asciiTheme="majorBidi" w:hAnsiTheme="majorBidi" w:cstheme="majorBidi"/>
          <w:sz w:val="24"/>
          <w:szCs w:val="24"/>
        </w:rPr>
        <w:t xml:space="preserve"> inflammation and immune status </w:t>
      </w:r>
      <w:r w:rsidRPr="00915158">
        <w:rPr>
          <w:rFonts w:asciiTheme="majorBidi" w:hAnsiTheme="majorBidi" w:cstheme="majorBidi"/>
          <w:sz w:val="24"/>
          <w:szCs w:val="24"/>
        </w:rPr>
        <w:t xml:space="preserve">could be used </w:t>
      </w:r>
      <w:r w:rsidR="003E4B05" w:rsidRPr="00915158">
        <w:rPr>
          <w:rFonts w:asciiTheme="majorBidi" w:hAnsiTheme="majorBidi" w:cstheme="majorBidi"/>
          <w:sz w:val="24"/>
          <w:szCs w:val="24"/>
        </w:rPr>
        <w:t>for potentially predicting</w:t>
      </w:r>
      <w:r w:rsidRPr="00915158">
        <w:rPr>
          <w:rFonts w:asciiTheme="majorBidi" w:hAnsiTheme="majorBidi" w:cstheme="majorBidi"/>
          <w:sz w:val="24"/>
          <w:szCs w:val="24"/>
        </w:rPr>
        <w:t xml:space="preserve"> mortality in</w:t>
      </w:r>
      <w:r w:rsidR="00BB4669" w:rsidRPr="00915158">
        <w:rPr>
          <w:rFonts w:asciiTheme="majorBidi" w:hAnsiTheme="majorBidi" w:cstheme="majorBidi"/>
          <w:sz w:val="24"/>
          <w:szCs w:val="24"/>
        </w:rPr>
        <w:t xml:space="preserve"> COVID-19 patients</w:t>
      </w:r>
      <w:r w:rsidRPr="00915158">
        <w:rPr>
          <w:rFonts w:asciiTheme="majorBidi" w:hAnsiTheme="majorBidi" w:cstheme="majorBidi"/>
          <w:sz w:val="24"/>
          <w:szCs w:val="24"/>
        </w:rPr>
        <w:t>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3E4B05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19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F62703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A1580C" w:rsidRPr="00915158">
        <w:rPr>
          <w:rFonts w:asciiTheme="majorBidi" w:hAnsiTheme="majorBidi" w:cstheme="majorBidi"/>
          <w:sz w:val="24"/>
          <w:szCs w:val="24"/>
        </w:rPr>
        <w:t>Yang et al</w:t>
      </w:r>
      <w:r w:rsidR="00F62703" w:rsidRPr="00915158">
        <w:rPr>
          <w:rFonts w:asciiTheme="majorBidi" w:hAnsiTheme="majorBidi" w:cstheme="majorBidi"/>
          <w:sz w:val="24"/>
          <w:szCs w:val="24"/>
        </w:rPr>
        <w:t>.</w:t>
      </w:r>
      <w:r w:rsidR="00A1580C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F62703" w:rsidRPr="00915158">
        <w:rPr>
          <w:rFonts w:asciiTheme="majorBidi" w:hAnsiTheme="majorBidi" w:cstheme="majorBidi"/>
          <w:sz w:val="24"/>
          <w:szCs w:val="24"/>
        </w:rPr>
        <w:t>has considered elevated NLR as an independent biomarker for poor clinical outcomes in COVID-19 patients</w:t>
      </w:r>
      <w:r w:rsidR="00AE06BB" w:rsidRPr="00915158">
        <w:rPr>
          <w:rFonts w:asciiTheme="majorBidi" w:hAnsiTheme="majorBidi" w:cstheme="majorBidi"/>
          <w:sz w:val="24"/>
          <w:szCs w:val="24"/>
        </w:rPr>
        <w:t>, with the optimal threshold of 3.3 having a superior prognostic possibility for clinical symptoms to change from mild to severe</w:t>
      </w:r>
      <w:r w:rsidR="00F62703" w:rsidRPr="00915158">
        <w:rPr>
          <w:rFonts w:asciiTheme="majorBidi" w:hAnsiTheme="majorBidi" w:cstheme="majorBidi"/>
          <w:sz w:val="24"/>
          <w:szCs w:val="24"/>
        </w:rPr>
        <w:t>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074EE6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0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D20A06" w:rsidRPr="00915158">
        <w:rPr>
          <w:rFonts w:asciiTheme="majorBidi" w:hAnsiTheme="majorBidi" w:cstheme="majorBidi"/>
          <w:sz w:val="24"/>
          <w:szCs w:val="24"/>
        </w:rPr>
        <w:t xml:space="preserve"> In our patients, not only NLR at the time of admission correlated with mortality but </w:t>
      </w:r>
      <w:r w:rsidR="00472DF0" w:rsidRPr="00915158">
        <w:rPr>
          <w:rFonts w:asciiTheme="majorBidi" w:hAnsiTheme="majorBidi" w:cstheme="majorBidi"/>
          <w:sz w:val="24"/>
          <w:szCs w:val="24"/>
        </w:rPr>
        <w:t xml:space="preserve">also the </w:t>
      </w:r>
      <w:r w:rsidR="00D20A06" w:rsidRPr="00915158">
        <w:rPr>
          <w:rFonts w:asciiTheme="majorBidi" w:hAnsiTheme="majorBidi" w:cstheme="majorBidi"/>
          <w:sz w:val="24"/>
          <w:szCs w:val="24"/>
        </w:rPr>
        <w:t>nadir quantity of NLR was higher in the non-survived</w:t>
      </w:r>
      <w:r w:rsidR="00C02960" w:rsidRPr="00915158">
        <w:rPr>
          <w:rFonts w:asciiTheme="majorBidi" w:hAnsiTheme="majorBidi" w:cstheme="majorBidi"/>
          <w:sz w:val="24"/>
          <w:szCs w:val="24"/>
        </w:rPr>
        <w:t xml:space="preserve"> patients and interestingly, NLR was higher than 3</w:t>
      </w:r>
      <w:r w:rsidR="00AC0A40" w:rsidRPr="00915158">
        <w:rPr>
          <w:rFonts w:asciiTheme="majorBidi" w:hAnsiTheme="majorBidi" w:cstheme="majorBidi"/>
          <w:sz w:val="24"/>
          <w:szCs w:val="24"/>
        </w:rPr>
        <w:t>.0</w:t>
      </w:r>
      <w:r w:rsidR="00C02960" w:rsidRPr="00915158">
        <w:rPr>
          <w:rFonts w:asciiTheme="majorBidi" w:hAnsiTheme="majorBidi" w:cstheme="majorBidi"/>
          <w:sz w:val="24"/>
          <w:szCs w:val="24"/>
        </w:rPr>
        <w:t xml:space="preserve"> in all of the deceased patients.</w:t>
      </w:r>
      <w:r w:rsidR="00DE6EAD" w:rsidRPr="00915158">
        <w:rPr>
          <w:rFonts w:asciiTheme="majorBidi" w:hAnsiTheme="majorBidi" w:cstheme="majorBidi"/>
          <w:sz w:val="24"/>
          <w:szCs w:val="24"/>
        </w:rPr>
        <w:t xml:space="preserve"> It seems that elevated NLR could be used as a prognostic value for improved mortality prediction.</w:t>
      </w:r>
    </w:p>
    <w:p w:rsidR="00445ED2" w:rsidRPr="00915158" w:rsidRDefault="00E016D3" w:rsidP="00582383">
      <w:pPr>
        <w:pStyle w:val="NoSpacing"/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T</w:t>
      </w:r>
      <w:r w:rsidR="00A1580C" w:rsidRPr="00915158">
        <w:rPr>
          <w:rFonts w:asciiTheme="majorBidi" w:hAnsiTheme="majorBidi" w:cstheme="majorBidi"/>
          <w:sz w:val="24"/>
          <w:szCs w:val="24"/>
        </w:rPr>
        <w:t xml:space="preserve">hrombocytopenia </w:t>
      </w:r>
      <w:r w:rsidR="00180088" w:rsidRPr="00915158">
        <w:rPr>
          <w:rFonts w:asciiTheme="majorBidi" w:hAnsiTheme="majorBidi" w:cstheme="majorBidi"/>
          <w:sz w:val="24"/>
          <w:szCs w:val="24"/>
        </w:rPr>
        <w:t>and lower nadir platelet counts are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535C18" w:rsidRPr="00915158">
        <w:rPr>
          <w:rFonts w:asciiTheme="majorBidi" w:hAnsiTheme="majorBidi" w:cstheme="majorBidi"/>
          <w:sz w:val="24"/>
          <w:szCs w:val="24"/>
        </w:rPr>
        <w:t xml:space="preserve">reported to be </w:t>
      </w:r>
      <w:r w:rsidRPr="00915158">
        <w:rPr>
          <w:rFonts w:asciiTheme="majorBidi" w:hAnsiTheme="majorBidi" w:cstheme="majorBidi"/>
          <w:sz w:val="24"/>
          <w:szCs w:val="24"/>
        </w:rPr>
        <w:t>more e</w:t>
      </w:r>
      <w:r w:rsidR="00A1580C" w:rsidRPr="00915158">
        <w:rPr>
          <w:rFonts w:asciiTheme="majorBidi" w:hAnsiTheme="majorBidi" w:cstheme="majorBidi"/>
          <w:sz w:val="24"/>
          <w:szCs w:val="24"/>
        </w:rPr>
        <w:t>n</w:t>
      </w:r>
      <w:r w:rsidRPr="00915158">
        <w:rPr>
          <w:rFonts w:asciiTheme="majorBidi" w:hAnsiTheme="majorBidi" w:cstheme="majorBidi"/>
          <w:sz w:val="24"/>
          <w:szCs w:val="24"/>
        </w:rPr>
        <w:t>countered</w:t>
      </w:r>
      <w:r w:rsidR="00A1580C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Pr="00915158">
        <w:rPr>
          <w:rFonts w:asciiTheme="majorBidi" w:hAnsiTheme="majorBidi" w:cstheme="majorBidi"/>
          <w:sz w:val="24"/>
          <w:szCs w:val="24"/>
        </w:rPr>
        <w:t xml:space="preserve">in </w:t>
      </w:r>
      <w:r w:rsidR="00A1580C" w:rsidRPr="00915158">
        <w:rPr>
          <w:rFonts w:asciiTheme="majorBidi" w:hAnsiTheme="majorBidi" w:cstheme="majorBidi"/>
          <w:sz w:val="24"/>
          <w:szCs w:val="24"/>
        </w:rPr>
        <w:t>non</w:t>
      </w:r>
      <w:r w:rsidR="00A1580C" w:rsidRPr="00915158">
        <w:rPr>
          <w:rFonts w:ascii="Cambria Math" w:hAnsi="Cambria Math" w:cs="Cambria Math"/>
          <w:sz w:val="24"/>
          <w:szCs w:val="24"/>
        </w:rPr>
        <w:t>‐</w:t>
      </w:r>
      <w:r w:rsidR="00A1580C" w:rsidRPr="00915158">
        <w:rPr>
          <w:rFonts w:asciiTheme="majorBidi" w:hAnsiTheme="majorBidi" w:cstheme="majorBidi"/>
          <w:sz w:val="24"/>
          <w:szCs w:val="24"/>
        </w:rPr>
        <w:t>survivors.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A1580C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1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22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535C18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445ED2" w:rsidRPr="00915158">
        <w:rPr>
          <w:rFonts w:asciiTheme="majorBidi" w:hAnsiTheme="majorBidi" w:cstheme="majorBidi"/>
          <w:sz w:val="24"/>
          <w:szCs w:val="24"/>
        </w:rPr>
        <w:t>In a meta-analysis, Lippi et al. stated that Hb values are essentially reduced in COVID-19 patients with severe disease, compared to those with milder forms.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445ED2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3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445ED2" w:rsidRPr="00915158">
        <w:rPr>
          <w:rFonts w:asciiTheme="majorBidi" w:hAnsiTheme="majorBidi" w:cstheme="majorBidi"/>
          <w:sz w:val="24"/>
          <w:szCs w:val="24"/>
        </w:rPr>
        <w:t xml:space="preserve"> These finding are in consistence with our results, elevated PLR and lower Hb at the time of admission in our patients correlated with mortality and also ICU admission.</w:t>
      </w:r>
    </w:p>
    <w:p w:rsidR="00A80222" w:rsidRPr="00915158" w:rsidRDefault="00A80222" w:rsidP="00915158">
      <w:pPr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Ruan et al.</w:t>
      </w:r>
      <w:r w:rsidR="00101537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Pr="00915158">
        <w:rPr>
          <w:rFonts w:asciiTheme="majorBidi" w:hAnsiTheme="majorBidi" w:cstheme="majorBidi"/>
          <w:sz w:val="24"/>
          <w:szCs w:val="24"/>
        </w:rPr>
        <w:t xml:space="preserve">proved that CRP level was significantly higher in the </w:t>
      </w:r>
      <w:r w:rsidR="00CE579F" w:rsidRPr="00915158">
        <w:rPr>
          <w:rFonts w:asciiTheme="majorBidi" w:hAnsiTheme="majorBidi" w:cstheme="majorBidi"/>
          <w:sz w:val="24"/>
          <w:szCs w:val="24"/>
        </w:rPr>
        <w:t xml:space="preserve">non-survivors </w:t>
      </w:r>
      <w:r w:rsidRPr="00915158">
        <w:rPr>
          <w:rFonts w:asciiTheme="majorBidi" w:hAnsiTheme="majorBidi" w:cstheme="majorBidi"/>
          <w:sz w:val="24"/>
          <w:szCs w:val="24"/>
        </w:rPr>
        <w:t>versus</w:t>
      </w:r>
      <w:r w:rsidR="00101537" w:rsidRPr="00915158">
        <w:rPr>
          <w:rFonts w:asciiTheme="majorBidi" w:hAnsiTheme="majorBidi" w:cstheme="majorBidi"/>
          <w:sz w:val="24"/>
          <w:szCs w:val="24"/>
        </w:rPr>
        <w:t xml:space="preserve"> discharged COVID-19 patients</w:t>
      </w:r>
      <w:r w:rsidRPr="00915158">
        <w:rPr>
          <w:rFonts w:asciiTheme="majorBidi" w:hAnsiTheme="majorBidi" w:cstheme="majorBidi"/>
          <w:sz w:val="24"/>
          <w:szCs w:val="24"/>
        </w:rPr>
        <w:t>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4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Pr="00915158">
        <w:rPr>
          <w:rFonts w:asciiTheme="majorBidi" w:hAnsiTheme="majorBidi" w:cstheme="majorBidi"/>
          <w:sz w:val="24"/>
          <w:szCs w:val="24"/>
        </w:rPr>
        <w:t xml:space="preserve"> Pan et al. have reported that two of the most frequent laboratory abnormalities in their patients with COVID-19 infection have been increased values of CRP and ESR.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5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0566FD" w:rsidRPr="00915158">
        <w:rPr>
          <w:rFonts w:asciiTheme="majorBidi" w:hAnsiTheme="majorBidi" w:cstheme="majorBidi"/>
          <w:sz w:val="24"/>
          <w:szCs w:val="24"/>
        </w:rPr>
        <w:t xml:space="preserve"> In our study, the mean level of ESR, CRP and also procalcitonin were significantly higher in the non-survived patients.</w:t>
      </w:r>
    </w:p>
    <w:p w:rsidR="002F64EE" w:rsidRPr="00915158" w:rsidRDefault="00BB375F" w:rsidP="00915158">
      <w:pPr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An increased risk of death</w:t>
      </w:r>
      <w:r w:rsidR="00CA19AA" w:rsidRPr="00915158">
        <w:rPr>
          <w:rFonts w:asciiTheme="majorBidi" w:hAnsiTheme="majorBidi" w:cstheme="majorBidi"/>
          <w:sz w:val="24"/>
          <w:szCs w:val="24"/>
        </w:rPr>
        <w:t xml:space="preserve"> has been reported </w:t>
      </w:r>
      <w:r w:rsidRPr="00915158">
        <w:rPr>
          <w:rFonts w:asciiTheme="majorBidi" w:hAnsiTheme="majorBidi" w:cstheme="majorBidi"/>
          <w:sz w:val="24"/>
          <w:szCs w:val="24"/>
        </w:rPr>
        <w:t>with</w:t>
      </w:r>
      <w:r w:rsidR="00CA19AA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2269F0" w:rsidRPr="00915158">
        <w:rPr>
          <w:rFonts w:asciiTheme="majorBidi" w:hAnsiTheme="majorBidi" w:cstheme="majorBidi"/>
          <w:sz w:val="24"/>
          <w:szCs w:val="24"/>
        </w:rPr>
        <w:t>c</w:t>
      </w:r>
      <w:r w:rsidR="00CA19AA" w:rsidRPr="00915158">
        <w:rPr>
          <w:rFonts w:asciiTheme="majorBidi" w:hAnsiTheme="majorBidi" w:cstheme="majorBidi"/>
          <w:sz w:val="24"/>
          <w:szCs w:val="24"/>
        </w:rPr>
        <w:t>oagulopathy in COVID-19</w:t>
      </w:r>
      <w:r w:rsidRPr="00915158">
        <w:rPr>
          <w:rFonts w:asciiTheme="majorBidi" w:hAnsiTheme="majorBidi" w:cstheme="majorBidi"/>
          <w:sz w:val="24"/>
          <w:szCs w:val="24"/>
        </w:rPr>
        <w:t xml:space="preserve"> patients.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CA19AA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6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2269F0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CC3EAF" w:rsidRPr="00915158">
        <w:rPr>
          <w:rFonts w:asciiTheme="majorBidi" w:hAnsiTheme="majorBidi" w:cstheme="majorBidi"/>
          <w:sz w:val="24"/>
          <w:szCs w:val="24"/>
        </w:rPr>
        <w:t xml:space="preserve">Levi et al. reported </w:t>
      </w:r>
      <w:r w:rsidRPr="00915158">
        <w:rPr>
          <w:rFonts w:asciiTheme="majorBidi" w:hAnsiTheme="majorBidi" w:cstheme="majorBidi"/>
          <w:sz w:val="24"/>
          <w:szCs w:val="24"/>
        </w:rPr>
        <w:t xml:space="preserve">an increased D-dimer concentration together with prolongation of the prothrombin time as typical indicators of coagulopathy </w:t>
      </w:r>
      <w:r w:rsidR="002269F0" w:rsidRPr="00915158">
        <w:rPr>
          <w:rFonts w:asciiTheme="majorBidi" w:hAnsiTheme="majorBidi" w:cstheme="majorBidi"/>
          <w:sz w:val="24"/>
          <w:szCs w:val="24"/>
        </w:rPr>
        <w:t>in patients with COVID-19</w:t>
      </w:r>
      <w:r w:rsidR="00CC3EAF" w:rsidRPr="00915158">
        <w:rPr>
          <w:rFonts w:asciiTheme="majorBidi" w:hAnsiTheme="majorBidi" w:cstheme="majorBidi"/>
          <w:sz w:val="24"/>
          <w:szCs w:val="24"/>
        </w:rPr>
        <w:t>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CC3EAF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7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0566FD"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2269F0" w:rsidRPr="00915158">
        <w:rPr>
          <w:rFonts w:asciiTheme="majorBidi" w:hAnsiTheme="majorBidi" w:cstheme="majorBidi"/>
          <w:sz w:val="24"/>
          <w:szCs w:val="24"/>
        </w:rPr>
        <w:t xml:space="preserve">In a series of 1099 patients with </w:t>
      </w:r>
      <w:r w:rsidR="00E13548" w:rsidRPr="00915158">
        <w:rPr>
          <w:rFonts w:asciiTheme="majorBidi" w:hAnsiTheme="majorBidi" w:cstheme="majorBidi"/>
          <w:sz w:val="24"/>
          <w:szCs w:val="24"/>
        </w:rPr>
        <w:t>COVID-19 from China, elevated D-</w:t>
      </w:r>
      <w:r w:rsidR="002269F0" w:rsidRPr="00915158">
        <w:rPr>
          <w:rFonts w:asciiTheme="majorBidi" w:hAnsiTheme="majorBidi" w:cstheme="majorBidi"/>
          <w:sz w:val="24"/>
          <w:szCs w:val="24"/>
        </w:rPr>
        <w:t>dimer (</w:t>
      </w:r>
      <w:r w:rsidR="00582383">
        <w:rPr>
          <w:rFonts w:asciiTheme="majorBidi" w:hAnsiTheme="majorBidi" w:cstheme="majorBidi"/>
          <w:sz w:val="24"/>
          <w:szCs w:val="24"/>
        </w:rPr>
        <w:t xml:space="preserve">i.e. </w:t>
      </w:r>
      <w:r w:rsidR="002269F0" w:rsidRPr="00915158">
        <w:rPr>
          <w:rFonts w:asciiTheme="majorBidi" w:hAnsiTheme="majorBidi" w:cstheme="majorBidi"/>
          <w:sz w:val="24"/>
          <w:szCs w:val="24"/>
        </w:rPr>
        <w:t xml:space="preserve">&gt;0·5 mg/L) was found in </w:t>
      </w:r>
      <w:r w:rsidR="00A90235" w:rsidRPr="00915158">
        <w:rPr>
          <w:rFonts w:asciiTheme="majorBidi" w:hAnsiTheme="majorBidi" w:cstheme="majorBidi"/>
          <w:sz w:val="24"/>
          <w:szCs w:val="24"/>
        </w:rPr>
        <w:t>46% of</w:t>
      </w:r>
      <w:r w:rsidR="002269F0" w:rsidRPr="00915158">
        <w:rPr>
          <w:rFonts w:asciiTheme="majorBidi" w:hAnsiTheme="majorBidi" w:cstheme="majorBidi"/>
          <w:sz w:val="24"/>
          <w:szCs w:val="24"/>
        </w:rPr>
        <w:t xml:space="preserve"> patients.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2269F0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8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0D6348" w:rsidRPr="00915158">
        <w:rPr>
          <w:rFonts w:asciiTheme="majorBidi" w:hAnsiTheme="majorBidi" w:cstheme="majorBidi"/>
          <w:sz w:val="24"/>
          <w:szCs w:val="24"/>
        </w:rPr>
        <w:t xml:space="preserve"> In patients with severe COVID-19, PT was shown to be longer in patients who died versus patients who survived (15·6 s  vs 13·6 s).  </w:t>
      </w:r>
      <w:r w:rsidR="00E13548" w:rsidRPr="00915158">
        <w:rPr>
          <w:rFonts w:asciiTheme="majorBidi" w:hAnsiTheme="majorBidi" w:cstheme="majorBidi"/>
          <w:sz w:val="24"/>
          <w:szCs w:val="24"/>
        </w:rPr>
        <w:t>In our series, elevated D-</w:t>
      </w:r>
      <w:r w:rsidR="0060207C" w:rsidRPr="00915158">
        <w:rPr>
          <w:rFonts w:asciiTheme="majorBidi" w:hAnsiTheme="majorBidi" w:cstheme="majorBidi"/>
          <w:sz w:val="24"/>
          <w:szCs w:val="24"/>
        </w:rPr>
        <w:t xml:space="preserve">dimer was detected in 56% of patients and </w:t>
      </w:r>
      <w:r w:rsidR="005B2EA7" w:rsidRPr="00915158">
        <w:rPr>
          <w:rFonts w:asciiTheme="majorBidi" w:hAnsiTheme="majorBidi" w:cstheme="majorBidi"/>
          <w:sz w:val="24"/>
          <w:szCs w:val="24"/>
        </w:rPr>
        <w:t>the mean level of D-dimer was significantly higher in non-survived patients. Moreover, a PT higher than 14 s was significantly correlated with mortality in our patients.</w:t>
      </w:r>
    </w:p>
    <w:p w:rsidR="00CB6A0B" w:rsidRPr="00915158" w:rsidRDefault="002F60D7" w:rsidP="00582383">
      <w:pPr>
        <w:spacing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Other laboratory abnormalities in COVID-19 that might be relevant </w:t>
      </w:r>
      <w:r w:rsidR="00F9499C" w:rsidRPr="00915158">
        <w:rPr>
          <w:rFonts w:asciiTheme="majorBidi" w:hAnsiTheme="majorBidi" w:cstheme="majorBidi"/>
          <w:sz w:val="24"/>
          <w:szCs w:val="24"/>
        </w:rPr>
        <w:t>with</w:t>
      </w:r>
      <w:r w:rsidRPr="00915158">
        <w:rPr>
          <w:rFonts w:asciiTheme="majorBidi" w:hAnsiTheme="majorBidi" w:cstheme="majorBidi"/>
          <w:sz w:val="24"/>
          <w:szCs w:val="24"/>
        </w:rPr>
        <w:t xml:space="preserve"> coagulopathy </w:t>
      </w:r>
      <w:r w:rsidR="00F9499C" w:rsidRPr="00915158">
        <w:rPr>
          <w:rFonts w:asciiTheme="majorBidi" w:hAnsiTheme="majorBidi" w:cstheme="majorBidi"/>
          <w:sz w:val="24"/>
          <w:szCs w:val="24"/>
        </w:rPr>
        <w:t xml:space="preserve">and thrombotic microangiopathy </w:t>
      </w:r>
      <w:r w:rsidRPr="00915158">
        <w:rPr>
          <w:rFonts w:asciiTheme="majorBidi" w:hAnsiTheme="majorBidi" w:cstheme="majorBidi"/>
          <w:sz w:val="24"/>
          <w:szCs w:val="24"/>
        </w:rPr>
        <w:t xml:space="preserve">are increased </w:t>
      </w:r>
      <w:r w:rsidR="00F9499C" w:rsidRPr="00915158">
        <w:rPr>
          <w:rFonts w:asciiTheme="majorBidi" w:hAnsiTheme="majorBidi" w:cstheme="majorBidi"/>
          <w:sz w:val="24"/>
          <w:szCs w:val="24"/>
        </w:rPr>
        <w:t>LDH</w:t>
      </w:r>
      <w:r w:rsidRPr="00915158">
        <w:rPr>
          <w:rFonts w:asciiTheme="majorBidi" w:hAnsiTheme="majorBidi" w:cstheme="majorBidi"/>
          <w:sz w:val="24"/>
          <w:szCs w:val="24"/>
        </w:rPr>
        <w:t xml:space="preserve"> and high ferritin concentrations.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29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3A286C" w:rsidRPr="00915158">
        <w:rPr>
          <w:rFonts w:asciiTheme="majorBidi" w:hAnsiTheme="majorBidi" w:cstheme="majorBidi"/>
          <w:sz w:val="24"/>
          <w:szCs w:val="24"/>
        </w:rPr>
        <w:t xml:space="preserve"> Raised LDH </w:t>
      </w:r>
      <w:r w:rsidR="003A286C" w:rsidRPr="00915158">
        <w:rPr>
          <w:rFonts w:asciiTheme="majorBidi" w:hAnsiTheme="majorBidi" w:cstheme="majorBidi"/>
          <w:sz w:val="24"/>
          <w:szCs w:val="24"/>
        </w:rPr>
        <w:lastRenderedPageBreak/>
        <w:t>levels were associated with ICU admission in a study by Fan et al. on COVID-19 patients in Singapore.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3A286C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30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CB6A0B" w:rsidRPr="00915158">
        <w:rPr>
          <w:rFonts w:asciiTheme="majorBidi" w:hAnsiTheme="majorBidi" w:cstheme="majorBidi"/>
          <w:sz w:val="24"/>
          <w:szCs w:val="24"/>
        </w:rPr>
        <w:t xml:space="preserve"> Yuan et al. reported that serum LDH decline may predict a favorable response to treatment in COVID-19.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CB6A0B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31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CB6A0B" w:rsidRPr="00915158">
        <w:rPr>
          <w:rFonts w:asciiTheme="majorBidi" w:hAnsiTheme="majorBidi" w:cstheme="majorBidi"/>
          <w:sz w:val="24"/>
          <w:szCs w:val="24"/>
        </w:rPr>
        <w:t xml:space="preserve"> Most other studies reported that LDH significantly increases in most patients with COVID-19 and that it has a very good accuracy in predicting cases with positive RT-PCR for COVID-19.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CB6A0B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32"/>
      </w:r>
      <w:r w:rsidR="009876E8">
        <w:rPr>
          <w:rFonts w:asciiTheme="majorBidi" w:hAnsiTheme="majorBidi" w:cstheme="majorBidi"/>
          <w:sz w:val="24"/>
          <w:szCs w:val="24"/>
        </w:rPr>
        <w:t>,</w:t>
      </w:r>
      <w:r w:rsidR="009876E8">
        <w:rPr>
          <w:rStyle w:val="EndnoteReference"/>
          <w:rFonts w:asciiTheme="majorBidi" w:hAnsiTheme="majorBidi" w:cstheme="majorBidi"/>
          <w:sz w:val="24"/>
          <w:szCs w:val="24"/>
        </w:rPr>
        <w:endnoteReference w:id="33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CB6A0B" w:rsidRPr="00915158">
        <w:rPr>
          <w:rFonts w:asciiTheme="majorBidi" w:hAnsiTheme="majorBidi" w:cstheme="majorBidi"/>
          <w:sz w:val="24"/>
          <w:szCs w:val="24"/>
        </w:rPr>
        <w:t xml:space="preserve"> In consistent with other studies, LDH was raised in most of our patients but </w:t>
      </w:r>
      <w:r w:rsidR="00721541" w:rsidRPr="00915158">
        <w:rPr>
          <w:rFonts w:asciiTheme="majorBidi" w:hAnsiTheme="majorBidi" w:cstheme="majorBidi"/>
          <w:sz w:val="24"/>
          <w:szCs w:val="24"/>
        </w:rPr>
        <w:t xml:space="preserve">it </w:t>
      </w:r>
      <w:r w:rsidR="00CB6A0B" w:rsidRPr="00915158">
        <w:rPr>
          <w:rFonts w:asciiTheme="majorBidi" w:hAnsiTheme="majorBidi" w:cstheme="majorBidi"/>
          <w:sz w:val="24"/>
          <w:szCs w:val="24"/>
        </w:rPr>
        <w:t xml:space="preserve">did not </w:t>
      </w:r>
      <w:r w:rsidR="00721541" w:rsidRPr="00915158">
        <w:rPr>
          <w:rFonts w:asciiTheme="majorBidi" w:hAnsiTheme="majorBidi" w:cstheme="majorBidi"/>
          <w:sz w:val="24"/>
          <w:szCs w:val="24"/>
        </w:rPr>
        <w:t>significantly correlate with mortality.</w:t>
      </w:r>
      <w:r w:rsidR="00582383">
        <w:rPr>
          <w:rFonts w:asciiTheme="majorBidi" w:hAnsiTheme="majorBidi" w:cstheme="majorBidi"/>
          <w:sz w:val="24"/>
          <w:szCs w:val="24"/>
        </w:rPr>
        <w:t xml:space="preserve"> </w:t>
      </w:r>
      <w:r w:rsidR="00C05958" w:rsidRPr="00915158">
        <w:rPr>
          <w:rFonts w:asciiTheme="majorBidi" w:hAnsiTheme="majorBidi" w:cstheme="majorBidi"/>
          <w:sz w:val="24"/>
          <w:szCs w:val="24"/>
        </w:rPr>
        <w:t>Elevated ferritin has been reported to be one of the predictors of fatality in confirmed COVID-19 cases, suggesting that mortality might be due to virally driven hyper inflammation.</w:t>
      </w:r>
      <w:r w:rsidR="00947A30">
        <w:rPr>
          <w:rFonts w:asciiTheme="majorBidi" w:hAnsiTheme="majorBidi" w:cstheme="majorBidi"/>
          <w:sz w:val="24"/>
          <w:szCs w:val="24"/>
        </w:rPr>
        <w:t>[</w:t>
      </w:r>
      <w:r w:rsidR="00C05958" w:rsidRPr="00915158">
        <w:rPr>
          <w:rStyle w:val="EndnoteReference"/>
          <w:rFonts w:asciiTheme="majorBidi" w:hAnsiTheme="majorBidi" w:cstheme="majorBidi"/>
          <w:sz w:val="24"/>
          <w:szCs w:val="24"/>
        </w:rPr>
        <w:endnoteReference w:id="34"/>
      </w:r>
      <w:r w:rsidR="00947A30">
        <w:rPr>
          <w:rFonts w:asciiTheme="majorBidi" w:hAnsiTheme="majorBidi" w:cstheme="majorBidi"/>
          <w:sz w:val="24"/>
          <w:szCs w:val="24"/>
        </w:rPr>
        <w:t>]</w:t>
      </w:r>
      <w:r w:rsidR="00C05958" w:rsidRPr="00915158">
        <w:rPr>
          <w:rFonts w:asciiTheme="majorBidi" w:hAnsiTheme="majorBidi" w:cstheme="majorBidi"/>
          <w:sz w:val="24"/>
          <w:szCs w:val="24"/>
        </w:rPr>
        <w:t xml:space="preserve"> Regardless of the  limited number of cases</w:t>
      </w:r>
      <w:r w:rsidR="00101FDD" w:rsidRPr="00915158">
        <w:rPr>
          <w:rFonts w:asciiTheme="majorBidi" w:hAnsiTheme="majorBidi" w:cstheme="majorBidi"/>
          <w:sz w:val="24"/>
          <w:szCs w:val="24"/>
        </w:rPr>
        <w:t xml:space="preserve"> checked for ferritin in our series</w:t>
      </w:r>
      <w:r w:rsidR="00C05958" w:rsidRPr="00915158">
        <w:rPr>
          <w:rFonts w:asciiTheme="majorBidi" w:hAnsiTheme="majorBidi" w:cstheme="majorBidi"/>
          <w:sz w:val="24"/>
          <w:szCs w:val="24"/>
        </w:rPr>
        <w:t xml:space="preserve">, </w:t>
      </w:r>
      <w:r w:rsidR="00F630C5" w:rsidRPr="00915158">
        <w:rPr>
          <w:rFonts w:asciiTheme="majorBidi" w:hAnsiTheme="majorBidi" w:cstheme="majorBidi"/>
          <w:sz w:val="24"/>
          <w:szCs w:val="24"/>
        </w:rPr>
        <w:t>having a ferritin higher than 500 ng/mL significantly correlated with mortality.</w:t>
      </w:r>
    </w:p>
    <w:p w:rsidR="00CE579F" w:rsidRPr="00915158" w:rsidRDefault="0016564C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This study has several l</w:t>
      </w:r>
      <w:r w:rsidR="00D322F0" w:rsidRPr="00915158">
        <w:rPr>
          <w:rFonts w:asciiTheme="majorBidi" w:hAnsiTheme="majorBidi" w:cstheme="majorBidi"/>
          <w:sz w:val="24"/>
          <w:szCs w:val="24"/>
        </w:rPr>
        <w:t>imitations, for instance</w:t>
      </w:r>
      <w:r w:rsidRPr="00915158">
        <w:rPr>
          <w:rFonts w:asciiTheme="majorBidi" w:hAnsiTheme="majorBidi" w:cstheme="majorBidi"/>
          <w:sz w:val="24"/>
          <w:szCs w:val="24"/>
        </w:rPr>
        <w:t xml:space="preserve"> being </w:t>
      </w:r>
      <w:r w:rsidR="00D322F0" w:rsidRPr="00915158">
        <w:rPr>
          <w:rFonts w:asciiTheme="majorBidi" w:hAnsiTheme="majorBidi" w:cstheme="majorBidi"/>
          <w:sz w:val="24"/>
          <w:szCs w:val="24"/>
        </w:rPr>
        <w:t xml:space="preserve">a retrospective study, </w:t>
      </w:r>
      <w:r w:rsidRPr="00915158">
        <w:rPr>
          <w:rFonts w:asciiTheme="majorBidi" w:hAnsiTheme="majorBidi" w:cstheme="majorBidi"/>
          <w:sz w:val="24"/>
          <w:szCs w:val="24"/>
        </w:rPr>
        <w:t>different time intervals</w:t>
      </w:r>
      <w:r w:rsidR="00D322F0" w:rsidRPr="00915158">
        <w:rPr>
          <w:rFonts w:asciiTheme="majorBidi" w:hAnsiTheme="majorBidi" w:cstheme="majorBidi"/>
          <w:sz w:val="24"/>
          <w:szCs w:val="24"/>
        </w:rPr>
        <w:t xml:space="preserve"> of tests</w:t>
      </w:r>
      <w:r w:rsidRPr="00915158">
        <w:rPr>
          <w:rFonts w:asciiTheme="majorBidi" w:hAnsiTheme="majorBidi" w:cstheme="majorBidi"/>
          <w:sz w:val="24"/>
          <w:szCs w:val="24"/>
        </w:rPr>
        <w:t xml:space="preserve"> between</w:t>
      </w:r>
      <w:r w:rsidR="00D322F0" w:rsidRPr="00915158">
        <w:rPr>
          <w:rFonts w:asciiTheme="majorBidi" w:hAnsiTheme="majorBidi" w:cstheme="majorBidi"/>
          <w:sz w:val="24"/>
          <w:szCs w:val="24"/>
        </w:rPr>
        <w:t xml:space="preserve"> patients, limited</w:t>
      </w:r>
      <w:r w:rsidRPr="00915158">
        <w:rPr>
          <w:rFonts w:asciiTheme="majorBidi" w:hAnsiTheme="majorBidi" w:cstheme="majorBidi"/>
          <w:sz w:val="24"/>
          <w:szCs w:val="24"/>
        </w:rPr>
        <w:t xml:space="preserve"> data on organ damages </w:t>
      </w:r>
      <w:r w:rsidR="00D322F0" w:rsidRPr="00915158">
        <w:rPr>
          <w:rFonts w:asciiTheme="majorBidi" w:hAnsiTheme="majorBidi" w:cstheme="majorBidi"/>
          <w:sz w:val="24"/>
          <w:szCs w:val="24"/>
        </w:rPr>
        <w:t>and so f</w:t>
      </w:r>
      <w:r w:rsidRPr="00915158">
        <w:rPr>
          <w:rFonts w:asciiTheme="majorBidi" w:hAnsiTheme="majorBidi" w:cstheme="majorBidi"/>
          <w:sz w:val="24"/>
          <w:szCs w:val="24"/>
        </w:rPr>
        <w:t xml:space="preserve">urther studies are </w:t>
      </w:r>
      <w:r w:rsidR="00EE29B3" w:rsidRPr="00915158">
        <w:rPr>
          <w:rFonts w:asciiTheme="majorBidi" w:hAnsiTheme="majorBidi" w:cstheme="majorBidi"/>
          <w:sz w:val="24"/>
          <w:szCs w:val="24"/>
        </w:rPr>
        <w:t>required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EE29B3" w:rsidRPr="00915158">
        <w:rPr>
          <w:rFonts w:asciiTheme="majorBidi" w:hAnsiTheme="majorBidi" w:cstheme="majorBidi"/>
          <w:sz w:val="24"/>
          <w:szCs w:val="24"/>
        </w:rPr>
        <w:t>for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6858F0" w:rsidRPr="00915158">
        <w:rPr>
          <w:rFonts w:asciiTheme="majorBidi" w:hAnsiTheme="majorBidi" w:cstheme="majorBidi"/>
          <w:sz w:val="24"/>
          <w:szCs w:val="24"/>
        </w:rPr>
        <w:t xml:space="preserve">the </w:t>
      </w:r>
      <w:r w:rsidRPr="00915158">
        <w:rPr>
          <w:rFonts w:asciiTheme="majorBidi" w:hAnsiTheme="majorBidi" w:cstheme="majorBidi"/>
          <w:sz w:val="24"/>
          <w:szCs w:val="24"/>
        </w:rPr>
        <w:t>confirm</w:t>
      </w:r>
      <w:r w:rsidR="00EE29B3" w:rsidRPr="00915158">
        <w:rPr>
          <w:rFonts w:asciiTheme="majorBidi" w:hAnsiTheme="majorBidi" w:cstheme="majorBidi"/>
          <w:sz w:val="24"/>
          <w:szCs w:val="24"/>
        </w:rPr>
        <w:t>ation of</w:t>
      </w:r>
      <w:r w:rsidRPr="00915158">
        <w:rPr>
          <w:rFonts w:asciiTheme="majorBidi" w:hAnsiTheme="majorBidi" w:cstheme="majorBidi"/>
          <w:sz w:val="24"/>
          <w:szCs w:val="24"/>
        </w:rPr>
        <w:t xml:space="preserve"> our findings.</w:t>
      </w:r>
    </w:p>
    <w:p w:rsidR="00CE579F" w:rsidRPr="00915158" w:rsidRDefault="00CE579F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 xml:space="preserve">In conclusion, </w:t>
      </w:r>
      <w:r w:rsidR="00637F67" w:rsidRPr="00915158">
        <w:rPr>
          <w:rFonts w:asciiTheme="majorBidi" w:hAnsiTheme="majorBidi" w:cstheme="majorBidi"/>
          <w:sz w:val="24"/>
          <w:szCs w:val="24"/>
        </w:rPr>
        <w:t xml:space="preserve">hematologic </w:t>
      </w:r>
      <w:r w:rsidRPr="00915158">
        <w:rPr>
          <w:rFonts w:asciiTheme="majorBidi" w:hAnsiTheme="majorBidi" w:cstheme="majorBidi"/>
          <w:sz w:val="24"/>
          <w:szCs w:val="24"/>
        </w:rPr>
        <w:t xml:space="preserve">predictors of a fatal outcome in COVID19 </w:t>
      </w:r>
      <w:r w:rsidR="000566FD" w:rsidRPr="00915158">
        <w:rPr>
          <w:rFonts w:asciiTheme="majorBidi" w:hAnsiTheme="majorBidi" w:cstheme="majorBidi"/>
          <w:sz w:val="24"/>
          <w:szCs w:val="24"/>
        </w:rPr>
        <w:t xml:space="preserve">hospitalized </w:t>
      </w:r>
      <w:r w:rsidR="006858F0" w:rsidRPr="00915158">
        <w:rPr>
          <w:rFonts w:asciiTheme="majorBidi" w:hAnsiTheme="majorBidi" w:cstheme="majorBidi"/>
          <w:sz w:val="24"/>
          <w:szCs w:val="24"/>
        </w:rPr>
        <w:t>cases include</w:t>
      </w:r>
      <w:r w:rsidRPr="00915158">
        <w:rPr>
          <w:rFonts w:asciiTheme="majorBidi" w:hAnsiTheme="majorBidi" w:cstheme="majorBidi"/>
          <w:sz w:val="24"/>
          <w:szCs w:val="24"/>
        </w:rPr>
        <w:t xml:space="preserve"> </w:t>
      </w:r>
      <w:r w:rsidR="006858F0" w:rsidRPr="00915158">
        <w:rPr>
          <w:rFonts w:asciiTheme="majorBidi" w:hAnsiTheme="majorBidi" w:cstheme="majorBidi"/>
          <w:sz w:val="24"/>
          <w:szCs w:val="24"/>
        </w:rPr>
        <w:t>elevated NLR and PLR, lower than normal Hb and Plt</w:t>
      </w:r>
      <w:r w:rsidR="00637F67" w:rsidRPr="00915158">
        <w:rPr>
          <w:rFonts w:asciiTheme="majorBidi" w:hAnsiTheme="majorBidi" w:cstheme="majorBidi"/>
          <w:sz w:val="24"/>
          <w:szCs w:val="24"/>
        </w:rPr>
        <w:t>, elevated D-dimer</w:t>
      </w:r>
      <w:r w:rsidR="000D6348" w:rsidRPr="00915158">
        <w:rPr>
          <w:rFonts w:asciiTheme="majorBidi" w:hAnsiTheme="majorBidi" w:cstheme="majorBidi"/>
          <w:sz w:val="24"/>
          <w:szCs w:val="24"/>
        </w:rPr>
        <w:t xml:space="preserve"> and </w:t>
      </w:r>
      <w:r w:rsidR="005E0CDB">
        <w:rPr>
          <w:rFonts w:asciiTheme="majorBidi" w:hAnsiTheme="majorBidi" w:cstheme="majorBidi"/>
          <w:sz w:val="24"/>
          <w:szCs w:val="24"/>
        </w:rPr>
        <w:t xml:space="preserve">prolonged </w:t>
      </w:r>
      <w:r w:rsidR="000D6348" w:rsidRPr="00915158">
        <w:rPr>
          <w:rFonts w:asciiTheme="majorBidi" w:hAnsiTheme="majorBidi" w:cstheme="majorBidi"/>
          <w:sz w:val="24"/>
          <w:szCs w:val="24"/>
        </w:rPr>
        <w:t>PT</w:t>
      </w:r>
      <w:r w:rsidR="00F630C5" w:rsidRPr="00915158">
        <w:rPr>
          <w:rFonts w:asciiTheme="majorBidi" w:hAnsiTheme="majorBidi" w:cstheme="majorBidi"/>
          <w:sz w:val="24"/>
          <w:szCs w:val="24"/>
        </w:rPr>
        <w:t>, together with</w:t>
      </w:r>
      <w:r w:rsidR="00637F67" w:rsidRPr="00915158">
        <w:rPr>
          <w:rFonts w:asciiTheme="majorBidi" w:hAnsiTheme="majorBidi" w:cstheme="majorBidi"/>
          <w:sz w:val="24"/>
          <w:szCs w:val="24"/>
        </w:rPr>
        <w:t xml:space="preserve"> elevated inflammatory indicators in the blood</w:t>
      </w:r>
      <w:r w:rsidR="00F630C5" w:rsidRPr="00915158">
        <w:rPr>
          <w:rFonts w:asciiTheme="majorBidi" w:hAnsiTheme="majorBidi" w:cstheme="majorBidi"/>
          <w:sz w:val="24"/>
          <w:szCs w:val="24"/>
        </w:rPr>
        <w:t>.</w:t>
      </w:r>
    </w:p>
    <w:p w:rsidR="00915158" w:rsidRDefault="00915158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:rsidR="004619AD" w:rsidRPr="00915158" w:rsidRDefault="004619AD" w:rsidP="00915158">
      <w:pPr>
        <w:spacing w:after="0" w:line="276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915158">
        <w:rPr>
          <w:rFonts w:asciiTheme="majorBidi" w:hAnsiTheme="majorBidi" w:cstheme="majorBidi"/>
          <w:sz w:val="24"/>
          <w:szCs w:val="24"/>
        </w:rPr>
        <w:t>The authors declare that they have no conflicts of interest.</w:t>
      </w:r>
    </w:p>
    <w:sectPr w:rsidR="004619AD" w:rsidRPr="00915158"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749" w:rsidRDefault="006F0749" w:rsidP="00082ED0">
      <w:pPr>
        <w:spacing w:after="0" w:line="240" w:lineRule="auto"/>
      </w:pPr>
      <w:r>
        <w:separator/>
      </w:r>
    </w:p>
  </w:endnote>
  <w:endnote w:type="continuationSeparator" w:id="0">
    <w:p w:rsidR="006F0749" w:rsidRDefault="006F0749" w:rsidP="00082ED0">
      <w:pPr>
        <w:spacing w:after="0" w:line="240" w:lineRule="auto"/>
      </w:pPr>
      <w:r>
        <w:continuationSeparator/>
      </w:r>
    </w:p>
  </w:endnote>
  <w:endnote w:id="1">
    <w:p w:rsidR="00F412BC" w:rsidRPr="0077498B" w:rsidRDefault="00F412BC" w:rsidP="00BB493D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C948E7">
        <w:rPr>
          <w:rFonts w:asciiTheme="majorBidi" w:hAnsiTheme="majorBidi" w:cstheme="majorBidi"/>
        </w:rPr>
        <w:t>Zhu N, Zhang D, Wang W, et al.</w:t>
      </w:r>
      <w:r w:rsidRPr="0077498B">
        <w:rPr>
          <w:rFonts w:asciiTheme="majorBidi" w:hAnsiTheme="majorBidi" w:cstheme="majorBidi"/>
        </w:rPr>
        <w:t xml:space="preserve"> China Novel Coronavirus Investigating and Research Team. A novel coronavirus from patients with pneumonia in China, 2</w:t>
      </w:r>
      <w:r w:rsidR="00C948E7">
        <w:rPr>
          <w:rFonts w:asciiTheme="majorBidi" w:hAnsiTheme="majorBidi" w:cstheme="majorBidi"/>
        </w:rPr>
        <w:t>019. New Engl J Med 2020 Jan 24 (</w:t>
      </w:r>
      <w:r w:rsidR="007B0B9F" w:rsidRPr="007B0B9F">
        <w:rPr>
          <w:rFonts w:asciiTheme="majorBidi" w:hAnsiTheme="majorBidi" w:cstheme="majorBidi"/>
        </w:rPr>
        <w:t>PMID: 31978945</w:t>
      </w:r>
      <w:r w:rsidR="00C948E7">
        <w:rPr>
          <w:rFonts w:asciiTheme="majorBidi" w:hAnsiTheme="majorBidi" w:cstheme="majorBidi"/>
        </w:rPr>
        <w:t>).</w:t>
      </w:r>
    </w:p>
  </w:endnote>
  <w:endnote w:id="2">
    <w:p w:rsidR="00BB493D" w:rsidRPr="00BB493D" w:rsidRDefault="00BB493D" w:rsidP="00BB493D">
      <w:pPr>
        <w:pStyle w:val="EndnoteText"/>
        <w:contextualSpacing/>
        <w:jc w:val="both"/>
        <w:rPr>
          <w:rFonts w:asciiTheme="majorBidi" w:hAnsiTheme="majorBidi" w:cstheme="majorBidi"/>
        </w:rPr>
      </w:pPr>
      <w:r>
        <w:rPr>
          <w:rStyle w:val="EndnoteReference"/>
        </w:rPr>
        <w:endnoteRef/>
      </w:r>
      <w:r>
        <w:t xml:space="preserve"> </w:t>
      </w:r>
      <w:r w:rsidRPr="00C948E7">
        <w:rPr>
          <w:rFonts w:asciiTheme="majorBidi" w:hAnsiTheme="majorBidi" w:cstheme="majorBidi"/>
        </w:rPr>
        <w:t>Li Q, Guan X, Wu P,</w:t>
      </w:r>
      <w:r>
        <w:rPr>
          <w:rFonts w:asciiTheme="majorBidi" w:hAnsiTheme="majorBidi" w:cstheme="majorBidi"/>
        </w:rPr>
        <w:t xml:space="preserve"> et al</w:t>
      </w:r>
      <w:r w:rsidRPr="00C948E7">
        <w:rPr>
          <w:rFonts w:asciiTheme="majorBidi" w:hAnsiTheme="majorBidi" w:cstheme="majorBidi"/>
        </w:rPr>
        <w:t>. Early transmission dynamics in Wuhan, China, of novel coronavirus–infected pneumonia. New England Journal of Medicine. 2020 Jan 29</w:t>
      </w:r>
      <w:r>
        <w:rPr>
          <w:rFonts w:asciiTheme="majorBidi" w:hAnsiTheme="majorBidi" w:cstheme="majorBidi"/>
        </w:rPr>
        <w:t xml:space="preserve"> (</w:t>
      </w:r>
      <w:r w:rsidRPr="007B0B9F">
        <w:rPr>
          <w:rFonts w:asciiTheme="majorBidi" w:hAnsiTheme="majorBidi" w:cstheme="majorBidi"/>
        </w:rPr>
        <w:t>PMID: 31995857</w:t>
      </w:r>
      <w:r>
        <w:rPr>
          <w:rFonts w:asciiTheme="majorBidi" w:hAnsiTheme="majorBidi" w:cstheme="majorBidi"/>
        </w:rPr>
        <w:t>)</w:t>
      </w:r>
      <w:r w:rsidRPr="00C948E7">
        <w:rPr>
          <w:rFonts w:asciiTheme="majorBidi" w:hAnsiTheme="majorBidi" w:cstheme="majorBidi"/>
        </w:rPr>
        <w:t>.</w:t>
      </w:r>
    </w:p>
  </w:endnote>
  <w:endnote w:id="3">
    <w:p w:rsidR="00BB493D" w:rsidRDefault="00BB493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948E7">
        <w:rPr>
          <w:rFonts w:asciiTheme="majorBidi" w:hAnsiTheme="majorBidi" w:cstheme="majorBidi"/>
        </w:rPr>
        <w:t xml:space="preserve">Mo P, Xing Y, Xiao Y, </w:t>
      </w:r>
      <w:r>
        <w:rPr>
          <w:rFonts w:asciiTheme="majorBidi" w:hAnsiTheme="majorBidi" w:cstheme="majorBidi"/>
        </w:rPr>
        <w:t>et al</w:t>
      </w:r>
      <w:r w:rsidRPr="00C948E7">
        <w:rPr>
          <w:rFonts w:asciiTheme="majorBidi" w:hAnsiTheme="majorBidi" w:cstheme="majorBidi"/>
        </w:rPr>
        <w:t xml:space="preserve">. Clinical characteristics of refractory COVID-19 pneumonia in Wuhan, China. Clinical Infectious Diseases. 2020 Mar 16. </w:t>
      </w:r>
      <w:r>
        <w:rPr>
          <w:rFonts w:asciiTheme="majorBidi" w:hAnsiTheme="majorBidi" w:cstheme="majorBidi"/>
        </w:rPr>
        <w:t>(</w:t>
      </w:r>
      <w:r w:rsidRPr="003B4517">
        <w:rPr>
          <w:rFonts w:asciiTheme="majorBidi" w:hAnsiTheme="majorBidi" w:cstheme="majorBidi"/>
        </w:rPr>
        <w:t>PMID: 32173725</w:t>
      </w:r>
      <w:r>
        <w:rPr>
          <w:rFonts w:asciiTheme="majorBidi" w:hAnsiTheme="majorBidi" w:cstheme="majorBidi"/>
        </w:rPr>
        <w:t>).</w:t>
      </w:r>
    </w:p>
  </w:endnote>
  <w:endnote w:id="4">
    <w:p w:rsidR="00B936FB" w:rsidRPr="0077498B" w:rsidRDefault="00B936FB" w:rsidP="009876E8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DE2D74" w:rsidRPr="00DE2D74">
        <w:rPr>
          <w:rFonts w:asciiTheme="majorBidi" w:hAnsiTheme="majorBidi" w:cstheme="majorBidi"/>
        </w:rPr>
        <w:t xml:space="preserve">Chan JF, Yuan S, Kok KH, </w:t>
      </w:r>
      <w:r w:rsidR="00DE2D74">
        <w:rPr>
          <w:rFonts w:asciiTheme="majorBidi" w:hAnsiTheme="majorBidi" w:cstheme="majorBidi"/>
        </w:rPr>
        <w:t>et al</w:t>
      </w:r>
      <w:r w:rsidR="00DE2D74" w:rsidRPr="00DE2D74">
        <w:rPr>
          <w:rFonts w:asciiTheme="majorBidi" w:hAnsiTheme="majorBidi" w:cstheme="majorBidi"/>
        </w:rPr>
        <w:t>. A familial cluster of pneumonia associated with the 2019 novel coronavirus indicating person-to-person transmission: a study of a family cluster. The Lancet. 2020 Feb 15;395(10223):514-23</w:t>
      </w:r>
      <w:r w:rsidR="00DE2D74">
        <w:rPr>
          <w:rFonts w:asciiTheme="majorBidi" w:hAnsiTheme="majorBidi" w:cstheme="majorBidi"/>
        </w:rPr>
        <w:t xml:space="preserve"> (</w:t>
      </w:r>
      <w:r w:rsidR="003B4517" w:rsidRPr="003B4517">
        <w:rPr>
          <w:rFonts w:asciiTheme="majorBidi" w:hAnsiTheme="majorBidi" w:cstheme="majorBidi"/>
        </w:rPr>
        <w:t>PMID: 31986261</w:t>
      </w:r>
      <w:r w:rsidR="00DE2D74">
        <w:rPr>
          <w:rFonts w:asciiTheme="majorBidi" w:hAnsiTheme="majorBidi" w:cstheme="majorBidi"/>
        </w:rPr>
        <w:t>)</w:t>
      </w:r>
      <w:r w:rsidR="00DE2D74" w:rsidRPr="00DE2D74">
        <w:rPr>
          <w:rFonts w:asciiTheme="majorBidi" w:hAnsiTheme="majorBidi" w:cstheme="majorBidi"/>
        </w:rPr>
        <w:t>.</w:t>
      </w:r>
    </w:p>
  </w:endnote>
  <w:endnote w:id="5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532E7">
        <w:rPr>
          <w:rFonts w:asciiTheme="majorBidi" w:hAnsiTheme="majorBidi" w:cstheme="majorBidi"/>
        </w:rPr>
        <w:t xml:space="preserve">Huang C, Wang Y, Li X, </w:t>
      </w:r>
      <w:r>
        <w:rPr>
          <w:rFonts w:asciiTheme="majorBidi" w:hAnsiTheme="majorBidi" w:cstheme="majorBidi"/>
        </w:rPr>
        <w:t>et al</w:t>
      </w:r>
      <w:r w:rsidRPr="006532E7">
        <w:rPr>
          <w:rFonts w:asciiTheme="majorBidi" w:hAnsiTheme="majorBidi" w:cstheme="majorBidi"/>
        </w:rPr>
        <w:t>. Clinical features of patients infected with 2019 novel coronavirus in Wuhan, China. The lancet. 2020 Feb 15;395(10223):497-506</w:t>
      </w:r>
      <w:r>
        <w:rPr>
          <w:rFonts w:asciiTheme="majorBidi" w:hAnsiTheme="majorBidi" w:cstheme="majorBidi"/>
        </w:rPr>
        <w:t xml:space="preserve"> (</w:t>
      </w:r>
      <w:r w:rsidRPr="003B4517">
        <w:rPr>
          <w:rFonts w:asciiTheme="majorBidi" w:hAnsiTheme="majorBidi" w:cstheme="majorBidi"/>
        </w:rPr>
        <w:t>PMID: 31986264</w:t>
      </w:r>
      <w:r>
        <w:rPr>
          <w:rFonts w:asciiTheme="majorBidi" w:hAnsiTheme="majorBidi" w:cstheme="majorBidi"/>
        </w:rPr>
        <w:t>)</w:t>
      </w:r>
      <w:r w:rsidRPr="006532E7">
        <w:rPr>
          <w:rFonts w:asciiTheme="majorBidi" w:hAnsiTheme="majorBidi" w:cstheme="majorBidi"/>
        </w:rPr>
        <w:t>.</w:t>
      </w:r>
    </w:p>
  </w:endnote>
  <w:endnote w:id="6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F26BD0">
        <w:rPr>
          <w:rFonts w:asciiTheme="majorBidi" w:hAnsiTheme="majorBidi" w:cstheme="majorBidi"/>
        </w:rPr>
        <w:t>Lancet T. Emerging understandings of 2019-nCoV. Lancet (London, Engl</w:t>
      </w:r>
      <w:r>
        <w:rPr>
          <w:rFonts w:asciiTheme="majorBidi" w:hAnsiTheme="majorBidi" w:cstheme="majorBidi"/>
        </w:rPr>
        <w:t>and). 2020 Feb 1;395(10221):311 (</w:t>
      </w:r>
      <w:r w:rsidRPr="003B4517">
        <w:rPr>
          <w:rFonts w:asciiTheme="majorBidi" w:hAnsiTheme="majorBidi" w:cstheme="majorBidi"/>
        </w:rPr>
        <w:t>PMID: 31986259</w:t>
      </w:r>
      <w:r>
        <w:rPr>
          <w:rFonts w:asciiTheme="majorBidi" w:hAnsiTheme="majorBidi" w:cstheme="majorBidi"/>
        </w:rPr>
        <w:t>).</w:t>
      </w:r>
    </w:p>
  </w:endnote>
  <w:endnote w:id="7">
    <w:p w:rsidR="00B936FB" w:rsidRPr="0077498B" w:rsidRDefault="00B936FB" w:rsidP="003B4517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8B1460" w:rsidRPr="008B1460">
        <w:rPr>
          <w:rStyle w:val="text-node"/>
          <w:rFonts w:asciiTheme="majorBidi" w:hAnsiTheme="majorBidi" w:cstheme="majorBidi"/>
        </w:rPr>
        <w:t>Mattiuzzi C, Lippi G. Which lessons shall we learn from the 2019 novel coronavirus outbreak?. Annals of translational medicine. 2020 Feb;8(3)</w:t>
      </w:r>
      <w:r w:rsidR="008B1460">
        <w:rPr>
          <w:rStyle w:val="text-node"/>
          <w:rFonts w:asciiTheme="majorBidi" w:hAnsiTheme="majorBidi" w:cstheme="majorBidi"/>
        </w:rPr>
        <w:t xml:space="preserve"> (</w:t>
      </w:r>
      <w:r w:rsidR="003B4517" w:rsidRPr="003B4517">
        <w:rPr>
          <w:rStyle w:val="text-node"/>
          <w:rFonts w:asciiTheme="majorBidi" w:hAnsiTheme="majorBidi" w:cstheme="majorBidi"/>
        </w:rPr>
        <w:t>PMID: 32154288</w:t>
      </w:r>
      <w:r w:rsidR="008B1460">
        <w:rPr>
          <w:rStyle w:val="text-node"/>
          <w:rFonts w:asciiTheme="majorBidi" w:hAnsiTheme="majorBidi" w:cstheme="majorBidi"/>
        </w:rPr>
        <w:t>)</w:t>
      </w:r>
      <w:r w:rsidR="008B1460" w:rsidRPr="008B1460">
        <w:rPr>
          <w:rStyle w:val="text-node"/>
          <w:rFonts w:asciiTheme="majorBidi" w:hAnsiTheme="majorBidi" w:cstheme="majorBidi"/>
        </w:rPr>
        <w:t>.</w:t>
      </w:r>
    </w:p>
  </w:endnote>
  <w:endnote w:id="8">
    <w:p w:rsidR="00B936FB" w:rsidRPr="0077498B" w:rsidRDefault="00B936FB" w:rsidP="009876E8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Lippi G, Plebani M. The novel coronavirus (2019-nCoV) outbreak: think the unthinkable and be prepared to face the challenge. Diagnosis (Berl) 2020 Jan 28. </w:t>
      </w:r>
      <w:r w:rsidR="0067510E">
        <w:rPr>
          <w:rFonts w:asciiTheme="majorBidi" w:hAnsiTheme="majorBidi" w:cstheme="majorBidi"/>
        </w:rPr>
        <w:t>(</w:t>
      </w:r>
      <w:r w:rsidR="003B4517" w:rsidRPr="003B4517">
        <w:rPr>
          <w:rFonts w:asciiTheme="majorBidi" w:hAnsiTheme="majorBidi" w:cstheme="majorBidi"/>
        </w:rPr>
        <w:t>PMID: 32083831</w:t>
      </w:r>
      <w:r w:rsidR="0067510E"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9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7498B">
        <w:rPr>
          <w:rStyle w:val="text-node"/>
          <w:rFonts w:asciiTheme="majorBidi" w:hAnsiTheme="majorBidi" w:cstheme="majorBidi"/>
        </w:rPr>
        <w:t xml:space="preserve">Lippi G, Plebani M. A modern and pragmatic definition of laboratory medicine. Clin Chem Lab Med 2020 Feb 18. </w:t>
      </w:r>
      <w:r>
        <w:rPr>
          <w:rStyle w:val="text-node"/>
          <w:rFonts w:asciiTheme="majorBidi" w:hAnsiTheme="majorBidi" w:cstheme="majorBidi"/>
        </w:rPr>
        <w:t>(</w:t>
      </w:r>
      <w:r w:rsidRPr="003B4517">
        <w:rPr>
          <w:rStyle w:val="text-node"/>
          <w:rFonts w:asciiTheme="majorBidi" w:hAnsiTheme="majorBidi" w:cstheme="majorBidi"/>
        </w:rPr>
        <w:t>PMID: 32069231</w:t>
      </w:r>
      <w:r>
        <w:rPr>
          <w:rStyle w:val="text-node"/>
          <w:rFonts w:asciiTheme="majorBidi" w:hAnsiTheme="majorBidi" w:cstheme="majorBidi"/>
        </w:rPr>
        <w:t>)</w:t>
      </w:r>
      <w:r w:rsidRPr="0077498B">
        <w:rPr>
          <w:rStyle w:val="text-node"/>
          <w:rFonts w:asciiTheme="majorBidi" w:hAnsiTheme="majorBidi" w:cstheme="majorBidi"/>
        </w:rPr>
        <w:t>.</w:t>
      </w:r>
    </w:p>
  </w:endnote>
  <w:endnote w:id="10">
    <w:p w:rsidR="00B936FB" w:rsidRPr="0077498B" w:rsidRDefault="00B936FB" w:rsidP="00AD0623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AD0623" w:rsidRPr="00AD0623">
        <w:rPr>
          <w:rFonts w:asciiTheme="majorBidi" w:hAnsiTheme="majorBidi" w:cstheme="majorBidi"/>
        </w:rPr>
        <w:t>Lichtman MA, Kaushansky K, Prchal JT, Levi MM, Burns LJ, Armitage J. Williams manual of hematology. McGraw</w:t>
      </w:r>
      <w:r w:rsidR="00AD0623">
        <w:rPr>
          <w:rFonts w:asciiTheme="majorBidi" w:hAnsiTheme="majorBidi" w:cstheme="majorBidi"/>
        </w:rPr>
        <w:t xml:space="preserve"> Hill Professional; 2017 Jan 20</w:t>
      </w:r>
      <w:r w:rsidR="00333E7A">
        <w:rPr>
          <w:rFonts w:asciiTheme="majorBidi" w:hAnsiTheme="majorBidi" w:cstheme="majorBidi"/>
        </w:rPr>
        <w:t xml:space="preserve"> (</w:t>
      </w:r>
      <w:r w:rsidR="00333E7A" w:rsidRPr="00333E7A">
        <w:rPr>
          <w:rFonts w:asciiTheme="majorBidi" w:hAnsiTheme="majorBidi" w:cstheme="majorBidi"/>
        </w:rPr>
        <w:t>https://hemonc.mhmedical.com/book.aspx?bookID=1889</w:t>
      </w:r>
      <w:r w:rsidR="00333E7A"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11">
    <w:p w:rsidR="00522381" w:rsidRPr="0077498B" w:rsidRDefault="001558C1" w:rsidP="009876E8">
      <w:pPr>
        <w:pStyle w:val="EndnoteText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Meng L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>B, Yu Z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>M, Guo P, et al. Neutrophils and neutrophil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>lymphocyte ratio: inflammatory markers associated with intimal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>media thickness of atherosclerosis. Thromb Res. 2018;170(May):45</w:t>
      </w:r>
      <w:r w:rsidRPr="0077498B">
        <w:rPr>
          <w:rFonts w:ascii="Cambria Math" w:hAnsi="Cambria Math" w:cs="Cambria Math"/>
        </w:rPr>
        <w:t>‐</w:t>
      </w:r>
      <w:r w:rsidR="00AD0623">
        <w:rPr>
          <w:rFonts w:asciiTheme="majorBidi" w:hAnsiTheme="majorBidi" w:cstheme="majorBidi"/>
        </w:rPr>
        <w:t xml:space="preserve">52. </w:t>
      </w:r>
      <w:r w:rsidR="00AD0623" w:rsidRPr="00AD0623">
        <w:rPr>
          <w:rFonts w:asciiTheme="majorBidi" w:hAnsiTheme="majorBidi" w:cstheme="majorBidi"/>
        </w:rPr>
        <w:t>(</w:t>
      </w:r>
      <w:r w:rsidR="003B4517" w:rsidRPr="003B4517">
        <w:t>PMID: 30118867</w:t>
      </w:r>
      <w:r w:rsidR="00AD0623" w:rsidRPr="00AD0623">
        <w:rPr>
          <w:rFonts w:asciiTheme="majorBidi" w:hAnsiTheme="majorBidi" w:cstheme="majorBidi"/>
        </w:rPr>
        <w:t>)</w:t>
      </w:r>
    </w:p>
  </w:endnote>
  <w:endnote w:id="12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7498B">
        <w:rPr>
          <w:rFonts w:asciiTheme="majorBidi" w:hAnsiTheme="majorBidi" w:cstheme="majorBidi"/>
        </w:rPr>
        <w:t>Okugawa Y, Toiyama Y, Yamamoto A, et al. Lymphocyte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>C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 xml:space="preserve">reactive protein ratio as promising new marker for predicting surgical and oncological outcomes in colorectal cancer. Ann Surg. 2019. </w:t>
      </w:r>
      <w:hyperlink r:id="rId1" w:history="1">
        <w:r w:rsidRPr="00AD0623">
          <w:rPr>
            <w:rStyle w:val="Hyperlink"/>
            <w:rFonts w:asciiTheme="majorBidi" w:hAnsiTheme="majorBidi" w:cstheme="majorBidi"/>
            <w:color w:val="auto"/>
            <w:u w:val="none"/>
          </w:rPr>
          <w:t>(</w:t>
        </w:r>
        <w:r w:rsidRPr="003B4517">
          <w:t xml:space="preserve"> </w:t>
        </w:r>
        <w:r w:rsidRPr="003B4517">
          <w:rPr>
            <w:rStyle w:val="Hyperlink"/>
            <w:rFonts w:asciiTheme="majorBidi" w:hAnsiTheme="majorBidi" w:cstheme="majorBidi"/>
            <w:color w:val="auto"/>
            <w:u w:val="none"/>
          </w:rPr>
          <w:t>PMID: 30817357</w:t>
        </w:r>
      </w:hyperlink>
      <w:r w:rsidRPr="00AD0623">
        <w:rPr>
          <w:rFonts w:asciiTheme="majorBidi" w:hAnsiTheme="majorBidi" w:cstheme="majorBidi"/>
        </w:rPr>
        <w:t>)</w:t>
      </w:r>
    </w:p>
  </w:endnote>
  <w:endnote w:id="13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33E7A">
        <w:rPr>
          <w:rFonts w:asciiTheme="majorBidi" w:hAnsiTheme="majorBidi" w:cstheme="majorBidi"/>
        </w:rPr>
        <w:t xml:space="preserve">Lagunas‐Rangel FA. Neutrophil‐to‐lymphocyte ratio and lymphocyte‐to‐C‐reactive protein ratio in patients with severe coronavirus disease 2019 (COVID‐19): A meta‐analysis. Journal </w:t>
      </w:r>
      <w:r>
        <w:rPr>
          <w:rFonts w:asciiTheme="majorBidi" w:hAnsiTheme="majorBidi" w:cstheme="majorBidi"/>
        </w:rPr>
        <w:t>of medical virology. 2020 Apr 3 (</w:t>
      </w:r>
      <w:r w:rsidRPr="003B4517">
        <w:rPr>
          <w:rFonts w:asciiTheme="majorBidi" w:hAnsiTheme="majorBidi" w:cstheme="majorBidi"/>
        </w:rPr>
        <w:t>PMID: 32242950</w:t>
      </w:r>
      <w:r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14">
    <w:p w:rsidR="00B936FB" w:rsidRPr="00E26C63" w:rsidRDefault="00B936FB" w:rsidP="00947A30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Wu C, Chen X, Cai Y, Xia Ja, et al. Risk factors associated with acute respiratory distress syndrome and death in patients with coronavirus disease</w:t>
      </w:r>
      <w:r w:rsidR="00364F34">
        <w:rPr>
          <w:rFonts w:asciiTheme="majorBidi" w:hAnsiTheme="majorBidi" w:cstheme="majorBidi"/>
        </w:rPr>
        <w:t xml:space="preserve"> 2019 pneumonia in Wuhan, China. </w:t>
      </w:r>
      <w:r w:rsidRPr="0077498B">
        <w:rPr>
          <w:rFonts w:asciiTheme="majorBidi" w:hAnsiTheme="majorBidi" w:cstheme="majorBidi"/>
        </w:rPr>
        <w:t xml:space="preserve">JAMA Intern Med. </w:t>
      </w:r>
      <w:r w:rsidR="00364F34" w:rsidRPr="00364F34">
        <w:t>(</w:t>
      </w:r>
      <w:r w:rsidR="003B4517" w:rsidRPr="003B4517">
        <w:t>PMID: 32167524</w:t>
      </w:r>
      <w:r w:rsidR="00364F34" w:rsidRPr="00364F34">
        <w:rPr>
          <w:rStyle w:val="Hyperlink"/>
          <w:rFonts w:asciiTheme="majorBidi" w:hAnsiTheme="majorBidi" w:cstheme="majorBidi"/>
          <w:color w:val="auto"/>
          <w:u w:val="none"/>
        </w:rPr>
        <w:t>)</w:t>
      </w:r>
      <w:r w:rsidRPr="00364F34">
        <w:rPr>
          <w:rFonts w:asciiTheme="majorBidi" w:hAnsiTheme="majorBidi" w:cstheme="majorBidi"/>
        </w:rPr>
        <w:t>.</w:t>
      </w:r>
    </w:p>
  </w:endnote>
  <w:endnote w:id="15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64F34">
        <w:rPr>
          <w:rFonts w:asciiTheme="majorBidi" w:eastAsia="Times New Roman" w:hAnsiTheme="majorBidi" w:cstheme="majorBidi"/>
        </w:rPr>
        <w:t xml:space="preserve">Zhou F, Yu T, Du R, </w:t>
      </w:r>
      <w:r>
        <w:rPr>
          <w:rFonts w:asciiTheme="majorBidi" w:eastAsia="Times New Roman" w:hAnsiTheme="majorBidi" w:cstheme="majorBidi"/>
        </w:rPr>
        <w:t>et al</w:t>
      </w:r>
      <w:r w:rsidRPr="00364F34">
        <w:rPr>
          <w:rFonts w:asciiTheme="majorBidi" w:eastAsia="Times New Roman" w:hAnsiTheme="majorBidi" w:cstheme="majorBidi"/>
        </w:rPr>
        <w:t>. Clinical course and risk factors for mortality of adult inpatients with COVID-19 in Wuhan, China: a retrospective cohort study. The lancet. 2020 Mar 11</w:t>
      </w:r>
      <w:r>
        <w:rPr>
          <w:rFonts w:asciiTheme="majorBidi" w:eastAsia="Times New Roman" w:hAnsiTheme="majorBidi" w:cstheme="majorBidi"/>
        </w:rPr>
        <w:t xml:space="preserve"> (</w:t>
      </w:r>
      <w:r w:rsidRPr="00E3141A">
        <w:rPr>
          <w:rFonts w:asciiTheme="majorBidi" w:eastAsia="Times New Roman" w:hAnsiTheme="majorBidi" w:cstheme="majorBidi"/>
        </w:rPr>
        <w:t>PMID: 32171076</w:t>
      </w:r>
      <w:r>
        <w:rPr>
          <w:rFonts w:asciiTheme="majorBidi" w:eastAsia="Times New Roman" w:hAnsiTheme="majorBidi" w:cstheme="majorBidi"/>
        </w:rPr>
        <w:t>)</w:t>
      </w:r>
      <w:r w:rsidRPr="00364F34">
        <w:rPr>
          <w:rFonts w:asciiTheme="majorBidi" w:eastAsia="Times New Roman" w:hAnsiTheme="majorBidi" w:cstheme="majorBidi"/>
        </w:rPr>
        <w:t>.</w:t>
      </w:r>
    </w:p>
  </w:endnote>
  <w:endnote w:id="16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7498B">
        <w:rPr>
          <w:rFonts w:asciiTheme="majorBidi" w:hAnsiTheme="majorBidi" w:cstheme="majorBidi"/>
        </w:rPr>
        <w:t xml:space="preserve">Yang X, Yu Y, Xu J, et al. Clinical course and outcomes of critically ill patients with SARS-CoV-2 pneumonia in Wuhan, China: a single-centered, retrospective, observational study. Lancet Respir Med. </w:t>
      </w:r>
      <w:r w:rsidRPr="00E26C63">
        <w:t>(</w:t>
      </w:r>
      <w:r w:rsidRPr="00E3141A">
        <w:t>PMID: 32105632</w:t>
      </w:r>
      <w:r w:rsidRPr="00E26C63">
        <w:rPr>
          <w:rStyle w:val="Hyperlink"/>
          <w:rFonts w:asciiTheme="majorBidi" w:hAnsiTheme="majorBidi" w:cstheme="majorBidi"/>
          <w:color w:val="auto"/>
          <w:u w:val="none"/>
        </w:rPr>
        <w:t>)</w:t>
      </w:r>
      <w:r w:rsidRPr="00E26C63">
        <w:rPr>
          <w:rFonts w:asciiTheme="majorBidi" w:hAnsiTheme="majorBidi" w:cstheme="majorBidi"/>
        </w:rPr>
        <w:t>.</w:t>
      </w:r>
    </w:p>
  </w:endnote>
  <w:endnote w:id="17">
    <w:p w:rsidR="00B936FB" w:rsidRPr="0077498B" w:rsidRDefault="00B936FB" w:rsidP="00E3141A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77498B">
        <w:rPr>
          <w:rStyle w:val="EndnoteReference"/>
          <w:rFonts w:asciiTheme="majorBidi" w:hAnsiTheme="majorBidi" w:cstheme="majorBidi"/>
          <w:sz w:val="20"/>
          <w:szCs w:val="20"/>
        </w:rPr>
        <w:endnoteRef/>
      </w:r>
      <w:r w:rsidRPr="0077498B">
        <w:rPr>
          <w:rFonts w:asciiTheme="majorBidi" w:hAnsiTheme="majorBidi" w:cstheme="majorBidi"/>
          <w:sz w:val="20"/>
          <w:szCs w:val="20"/>
        </w:rPr>
        <w:t xml:space="preserve"> </w:t>
      </w:r>
      <w:r w:rsidRPr="0077498B">
        <w:rPr>
          <w:rFonts w:asciiTheme="majorBidi" w:eastAsia="Times New Roman" w:hAnsiTheme="majorBidi" w:cstheme="majorBidi"/>
          <w:sz w:val="20"/>
          <w:szCs w:val="20"/>
        </w:rPr>
        <w:t xml:space="preserve">Yang X, Yang Q, Wang Y, </w:t>
      </w:r>
      <w:r w:rsidR="00944802">
        <w:rPr>
          <w:rFonts w:asciiTheme="majorBidi" w:eastAsia="Times New Roman" w:hAnsiTheme="majorBidi" w:cstheme="majorBidi"/>
          <w:sz w:val="20"/>
          <w:szCs w:val="20"/>
        </w:rPr>
        <w:t>et al</w:t>
      </w:r>
      <w:r w:rsidRPr="0077498B">
        <w:rPr>
          <w:rFonts w:asciiTheme="majorBidi" w:eastAsia="Times New Roman" w:hAnsiTheme="majorBidi" w:cstheme="majorBidi"/>
          <w:sz w:val="20"/>
          <w:szCs w:val="20"/>
        </w:rPr>
        <w:t>. Thrombocytopenia and its association with mortality in patients with COVID</w:t>
      </w:r>
      <w:r w:rsidRPr="0077498B">
        <w:rPr>
          <w:rFonts w:ascii="Cambria Math" w:eastAsia="Times New Roman" w:hAnsi="Cambria Math" w:cs="Cambria Math"/>
          <w:sz w:val="20"/>
          <w:szCs w:val="20"/>
        </w:rPr>
        <w:t>‐</w:t>
      </w:r>
      <w:r w:rsidRPr="0077498B">
        <w:rPr>
          <w:rFonts w:asciiTheme="majorBidi" w:eastAsia="Times New Roman" w:hAnsiTheme="majorBidi" w:cstheme="majorBidi"/>
          <w:sz w:val="20"/>
          <w:szCs w:val="20"/>
        </w:rPr>
        <w:t>19. Journal of Thrombosis and Haemostasis. 2020 Apr 17</w:t>
      </w:r>
      <w:r w:rsidR="00944802">
        <w:rPr>
          <w:rFonts w:asciiTheme="majorBidi" w:eastAsia="Times New Roman" w:hAnsiTheme="majorBidi" w:cstheme="majorBidi"/>
          <w:sz w:val="20"/>
          <w:szCs w:val="20"/>
        </w:rPr>
        <w:t xml:space="preserve"> (</w:t>
      </w:r>
      <w:r w:rsidR="00E3141A" w:rsidRPr="00E3141A">
        <w:rPr>
          <w:rFonts w:asciiTheme="majorBidi" w:eastAsia="Times New Roman" w:hAnsiTheme="majorBidi" w:cstheme="majorBidi"/>
          <w:sz w:val="20"/>
          <w:szCs w:val="20"/>
        </w:rPr>
        <w:t>PMID: 32302435</w:t>
      </w:r>
      <w:r w:rsidR="00944802">
        <w:rPr>
          <w:rFonts w:asciiTheme="majorBidi" w:eastAsia="Times New Roman" w:hAnsiTheme="majorBidi" w:cstheme="majorBidi"/>
          <w:sz w:val="20"/>
          <w:szCs w:val="20"/>
        </w:rPr>
        <w:t>)</w:t>
      </w:r>
      <w:r w:rsidRPr="0077498B">
        <w:rPr>
          <w:rFonts w:asciiTheme="majorBidi" w:eastAsia="Times New Roman" w:hAnsiTheme="majorBidi" w:cstheme="majorBidi"/>
          <w:sz w:val="20"/>
          <w:szCs w:val="20"/>
        </w:rPr>
        <w:t>.</w:t>
      </w:r>
    </w:p>
  </w:endnote>
  <w:endnote w:id="18">
    <w:p w:rsidR="00B936FB" w:rsidRPr="0077498B" w:rsidRDefault="00B936FB" w:rsidP="00E3141A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944802" w:rsidRPr="00944802">
        <w:rPr>
          <w:rFonts w:asciiTheme="majorBidi" w:hAnsiTheme="majorBidi" w:cstheme="majorBidi"/>
        </w:rPr>
        <w:t xml:space="preserve">Xiang N, Havers F, Chen T, </w:t>
      </w:r>
      <w:r w:rsidR="00944802">
        <w:rPr>
          <w:rFonts w:asciiTheme="majorBidi" w:hAnsiTheme="majorBidi" w:cstheme="majorBidi"/>
        </w:rPr>
        <w:t>et al</w:t>
      </w:r>
      <w:r w:rsidR="00944802" w:rsidRPr="00944802">
        <w:rPr>
          <w:rFonts w:asciiTheme="majorBidi" w:hAnsiTheme="majorBidi" w:cstheme="majorBidi"/>
        </w:rPr>
        <w:t>. Use of national pneumonia surveillance to describe influenza A (H7N9) virus epidemiology, China, 2004–2013. Emerging infectious diseases. 2013 Nov;19(11):1784</w:t>
      </w:r>
      <w:r w:rsidR="00C557D5">
        <w:rPr>
          <w:rFonts w:asciiTheme="majorBidi" w:hAnsiTheme="majorBidi" w:cstheme="majorBidi"/>
        </w:rPr>
        <w:t xml:space="preserve"> (</w:t>
      </w:r>
      <w:r w:rsidR="00E3141A" w:rsidRPr="00E3141A">
        <w:rPr>
          <w:rFonts w:asciiTheme="majorBidi" w:hAnsiTheme="majorBidi" w:cstheme="majorBidi"/>
        </w:rPr>
        <w:t>PMID: 24206646</w:t>
      </w:r>
      <w:r w:rsidR="00C557D5">
        <w:rPr>
          <w:rFonts w:asciiTheme="majorBidi" w:hAnsiTheme="majorBidi" w:cstheme="majorBidi"/>
        </w:rPr>
        <w:t>)</w:t>
      </w:r>
      <w:r w:rsidR="00944802" w:rsidRPr="00944802">
        <w:rPr>
          <w:rFonts w:asciiTheme="majorBidi" w:hAnsiTheme="majorBidi" w:cstheme="majorBidi"/>
        </w:rPr>
        <w:t>.</w:t>
      </w:r>
    </w:p>
  </w:endnote>
  <w:endnote w:id="19">
    <w:p w:rsidR="00B936FB" w:rsidRPr="0077498B" w:rsidRDefault="00B936FB" w:rsidP="00E3141A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177A52" w:rsidRPr="00177A52">
        <w:rPr>
          <w:rFonts w:asciiTheme="majorBidi" w:hAnsiTheme="majorBidi" w:cstheme="majorBidi"/>
        </w:rPr>
        <w:t xml:space="preserve">Ying HQ, Deng QW, He BS, </w:t>
      </w:r>
      <w:r w:rsidR="00177A52">
        <w:rPr>
          <w:rFonts w:asciiTheme="majorBidi" w:hAnsiTheme="majorBidi" w:cstheme="majorBidi"/>
        </w:rPr>
        <w:t>et al</w:t>
      </w:r>
      <w:r w:rsidR="00177A52" w:rsidRPr="00177A52">
        <w:rPr>
          <w:rFonts w:asciiTheme="majorBidi" w:hAnsiTheme="majorBidi" w:cstheme="majorBidi"/>
        </w:rPr>
        <w:t>. The prognostic value of preoperative NLR, d-NLR, PLR and LMR for predicting clinical outcome in surgical colorectal cancer patients. Medical oncology. 2014 Dec 1;31(12):305</w:t>
      </w:r>
      <w:r w:rsidR="00177A52">
        <w:rPr>
          <w:rFonts w:asciiTheme="majorBidi" w:hAnsiTheme="majorBidi" w:cstheme="majorBidi"/>
        </w:rPr>
        <w:t xml:space="preserve"> (</w:t>
      </w:r>
      <w:r w:rsidR="00E3141A" w:rsidRPr="00E3141A">
        <w:rPr>
          <w:rFonts w:asciiTheme="majorBidi" w:hAnsiTheme="majorBidi" w:cstheme="majorBidi"/>
        </w:rPr>
        <w:t>PMID: 25355641</w:t>
      </w:r>
      <w:r w:rsidR="00177A52">
        <w:rPr>
          <w:rFonts w:asciiTheme="majorBidi" w:hAnsiTheme="majorBidi" w:cstheme="majorBidi"/>
        </w:rPr>
        <w:t>)</w:t>
      </w:r>
      <w:r w:rsidR="00177A52" w:rsidRPr="00177A52">
        <w:rPr>
          <w:rFonts w:asciiTheme="majorBidi" w:hAnsiTheme="majorBidi" w:cstheme="majorBidi"/>
        </w:rPr>
        <w:t>.</w:t>
      </w:r>
    </w:p>
  </w:endnote>
  <w:endnote w:id="20">
    <w:p w:rsidR="00B936FB" w:rsidRPr="0077498B" w:rsidRDefault="00B936FB" w:rsidP="00C25BE7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177A52" w:rsidRPr="00177A52">
        <w:rPr>
          <w:rFonts w:asciiTheme="majorBidi" w:hAnsiTheme="majorBidi" w:cstheme="majorBidi"/>
          <w:shd w:val="clear" w:color="auto" w:fill="FFFFFF"/>
        </w:rPr>
        <w:t>Yang AP, Liu J, Tao W, Li HM. The diagnostic and predictive role of NLR, d-NLR and PLR in COVID-19 patients. International immunop</w:t>
      </w:r>
      <w:r w:rsidR="00177A52">
        <w:rPr>
          <w:rFonts w:asciiTheme="majorBidi" w:hAnsiTheme="majorBidi" w:cstheme="majorBidi"/>
          <w:shd w:val="clear" w:color="auto" w:fill="FFFFFF"/>
        </w:rPr>
        <w:t>harmacology. 2020 Apr 13:106504 (</w:t>
      </w:r>
      <w:r w:rsidR="00C25BE7" w:rsidRPr="00C25BE7">
        <w:rPr>
          <w:rFonts w:asciiTheme="majorBidi" w:hAnsiTheme="majorBidi" w:cstheme="majorBidi"/>
          <w:shd w:val="clear" w:color="auto" w:fill="FFFFFF"/>
        </w:rPr>
        <w:t>PMID: 32304994</w:t>
      </w:r>
      <w:r w:rsidR="00177A52">
        <w:rPr>
          <w:rFonts w:asciiTheme="majorBidi" w:hAnsiTheme="majorBidi" w:cstheme="majorBidi"/>
          <w:shd w:val="clear" w:color="auto" w:fill="FFFFFF"/>
        </w:rPr>
        <w:t>).</w:t>
      </w:r>
    </w:p>
  </w:endnote>
  <w:endnote w:id="21">
    <w:p w:rsidR="00B936FB" w:rsidRPr="009876E8" w:rsidRDefault="00B936FB" w:rsidP="009876E8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77498B">
        <w:rPr>
          <w:rStyle w:val="EndnoteReference"/>
          <w:rFonts w:asciiTheme="majorBidi" w:hAnsiTheme="majorBidi" w:cstheme="majorBidi"/>
          <w:sz w:val="20"/>
          <w:szCs w:val="20"/>
        </w:rPr>
        <w:endnoteRef/>
      </w:r>
      <w:r w:rsidRPr="0077498B">
        <w:rPr>
          <w:rFonts w:asciiTheme="majorBidi" w:hAnsiTheme="majorBidi" w:cstheme="majorBidi"/>
          <w:sz w:val="20"/>
          <w:szCs w:val="20"/>
        </w:rPr>
        <w:t xml:space="preserve"> </w:t>
      </w:r>
      <w:r w:rsidR="005E434F" w:rsidRPr="0077498B">
        <w:rPr>
          <w:rFonts w:asciiTheme="majorBidi" w:eastAsia="Times New Roman" w:hAnsiTheme="majorBidi" w:cstheme="majorBidi"/>
          <w:sz w:val="20"/>
          <w:szCs w:val="20"/>
        </w:rPr>
        <w:t xml:space="preserve">Yang X, Yang Q, Wang Y, </w:t>
      </w:r>
      <w:r w:rsidR="005E434F">
        <w:rPr>
          <w:rFonts w:asciiTheme="majorBidi" w:eastAsia="Times New Roman" w:hAnsiTheme="majorBidi" w:cstheme="majorBidi"/>
          <w:sz w:val="20"/>
          <w:szCs w:val="20"/>
        </w:rPr>
        <w:t>et al</w:t>
      </w:r>
      <w:r w:rsidR="005E434F" w:rsidRPr="0077498B">
        <w:rPr>
          <w:rFonts w:asciiTheme="majorBidi" w:eastAsia="Times New Roman" w:hAnsiTheme="majorBidi" w:cstheme="majorBidi"/>
          <w:sz w:val="20"/>
          <w:szCs w:val="20"/>
        </w:rPr>
        <w:t>. Thrombocytopenia and its association with mortality in patients with COVID</w:t>
      </w:r>
      <w:r w:rsidR="005E434F" w:rsidRPr="0077498B">
        <w:rPr>
          <w:rFonts w:ascii="Cambria Math" w:eastAsia="Times New Roman" w:hAnsi="Cambria Math" w:cs="Cambria Math"/>
          <w:sz w:val="20"/>
          <w:szCs w:val="20"/>
        </w:rPr>
        <w:t>‐</w:t>
      </w:r>
      <w:r w:rsidR="005E434F" w:rsidRPr="0077498B">
        <w:rPr>
          <w:rFonts w:asciiTheme="majorBidi" w:eastAsia="Times New Roman" w:hAnsiTheme="majorBidi" w:cstheme="majorBidi"/>
          <w:sz w:val="20"/>
          <w:szCs w:val="20"/>
        </w:rPr>
        <w:t>19. Journal of Thrombosis and Haemostasis. 2020 Apr 17</w:t>
      </w:r>
      <w:r w:rsidR="005E434F">
        <w:rPr>
          <w:rFonts w:asciiTheme="majorBidi" w:eastAsia="Times New Roman" w:hAnsiTheme="majorBidi" w:cstheme="majorBidi"/>
          <w:sz w:val="20"/>
          <w:szCs w:val="20"/>
        </w:rPr>
        <w:t xml:space="preserve"> (</w:t>
      </w:r>
      <w:r w:rsidR="00C25BE7" w:rsidRPr="00C25BE7">
        <w:rPr>
          <w:rFonts w:asciiTheme="majorBidi" w:eastAsia="Times New Roman" w:hAnsiTheme="majorBidi" w:cstheme="majorBidi"/>
          <w:sz w:val="20"/>
          <w:szCs w:val="20"/>
        </w:rPr>
        <w:t>PMID: 32302435</w:t>
      </w:r>
      <w:r w:rsidR="005E434F">
        <w:rPr>
          <w:rFonts w:asciiTheme="majorBidi" w:eastAsia="Times New Roman" w:hAnsiTheme="majorBidi" w:cstheme="majorBidi"/>
          <w:sz w:val="20"/>
          <w:szCs w:val="20"/>
        </w:rPr>
        <w:t>)</w:t>
      </w:r>
      <w:r w:rsidR="005E434F" w:rsidRPr="0077498B">
        <w:rPr>
          <w:rFonts w:asciiTheme="majorBidi" w:eastAsia="Times New Roman" w:hAnsiTheme="majorBidi" w:cstheme="majorBidi"/>
          <w:sz w:val="20"/>
          <w:szCs w:val="20"/>
        </w:rPr>
        <w:t>.</w:t>
      </w:r>
    </w:p>
  </w:endnote>
  <w:endnote w:id="22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5E434F">
        <w:rPr>
          <w:rFonts w:asciiTheme="majorBidi" w:hAnsiTheme="majorBidi" w:cstheme="majorBidi"/>
          <w:shd w:val="clear" w:color="auto" w:fill="F8F8F8"/>
        </w:rPr>
        <w:t>Ruan Q, Yang K, Wang W, Jiang L, Song J. Clinical predictors of mortality due to COVID-19 based on an analysis of data of 150 patients from Wuhan, China. Intensive care medicine. 2020 May;46(5):846-8</w:t>
      </w:r>
      <w:r>
        <w:rPr>
          <w:rFonts w:asciiTheme="majorBidi" w:hAnsiTheme="majorBidi" w:cstheme="majorBidi"/>
          <w:shd w:val="clear" w:color="auto" w:fill="F8F8F8"/>
        </w:rPr>
        <w:t xml:space="preserve"> (</w:t>
      </w:r>
      <w:r w:rsidRPr="00C25BE7">
        <w:rPr>
          <w:rFonts w:asciiTheme="majorBidi" w:hAnsiTheme="majorBidi" w:cstheme="majorBidi"/>
          <w:shd w:val="clear" w:color="auto" w:fill="F8F8F8"/>
        </w:rPr>
        <w:t>PMID: 32125452</w:t>
      </w:r>
      <w:r>
        <w:rPr>
          <w:rFonts w:asciiTheme="majorBidi" w:hAnsiTheme="majorBidi" w:cstheme="majorBidi"/>
          <w:shd w:val="clear" w:color="auto" w:fill="F8F8F8"/>
        </w:rPr>
        <w:t>)</w:t>
      </w:r>
      <w:r w:rsidRPr="0077498B">
        <w:rPr>
          <w:rFonts w:asciiTheme="majorBidi" w:hAnsiTheme="majorBidi" w:cstheme="majorBidi"/>
          <w:shd w:val="clear" w:color="auto" w:fill="F8F8F8"/>
        </w:rPr>
        <w:t>.</w:t>
      </w:r>
    </w:p>
  </w:endnote>
  <w:endnote w:id="23">
    <w:p w:rsidR="00445ED2" w:rsidRPr="0077498B" w:rsidRDefault="00445ED2" w:rsidP="00D12F46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603A26" w:rsidRPr="00603A26">
        <w:rPr>
          <w:rFonts w:asciiTheme="majorBidi" w:hAnsiTheme="majorBidi" w:cstheme="majorBidi"/>
          <w:shd w:val="clear" w:color="auto" w:fill="FFFFFF"/>
        </w:rPr>
        <w:t>Lippi G, Mattiuzzi C. Hemoglobin value may be decreased in patients with severe coronavirus disease 2019. Hematology, Transfusion and Cell Therapy. 2020 Apr 2</w:t>
      </w:r>
      <w:r w:rsidR="00603A26">
        <w:rPr>
          <w:rFonts w:asciiTheme="majorBidi" w:hAnsiTheme="majorBidi" w:cstheme="majorBidi"/>
          <w:shd w:val="clear" w:color="auto" w:fill="FFFFFF"/>
        </w:rPr>
        <w:t xml:space="preserve"> (</w:t>
      </w:r>
      <w:r w:rsidR="00D12F46" w:rsidRPr="00D12F46">
        <w:rPr>
          <w:rFonts w:asciiTheme="majorBidi" w:hAnsiTheme="majorBidi" w:cstheme="majorBidi"/>
          <w:shd w:val="clear" w:color="auto" w:fill="FFFFFF"/>
        </w:rPr>
        <w:t>PMID: 32284281</w:t>
      </w:r>
      <w:r w:rsidR="00603A26">
        <w:rPr>
          <w:rFonts w:asciiTheme="majorBidi" w:hAnsiTheme="majorBidi" w:cstheme="majorBidi"/>
          <w:shd w:val="clear" w:color="auto" w:fill="FFFFFF"/>
        </w:rPr>
        <w:t>)</w:t>
      </w:r>
      <w:r w:rsidR="00603A26" w:rsidRPr="00603A26">
        <w:rPr>
          <w:rFonts w:asciiTheme="majorBidi" w:hAnsiTheme="majorBidi" w:cstheme="majorBidi"/>
          <w:shd w:val="clear" w:color="auto" w:fill="FFFFFF"/>
        </w:rPr>
        <w:t>.</w:t>
      </w:r>
    </w:p>
  </w:endnote>
  <w:endnote w:id="24">
    <w:p w:rsidR="00A80222" w:rsidRPr="0077498B" w:rsidRDefault="00A80222" w:rsidP="0049650C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D337C3" w:rsidRPr="005E434F">
        <w:rPr>
          <w:rFonts w:asciiTheme="majorBidi" w:hAnsiTheme="majorBidi" w:cstheme="majorBidi"/>
          <w:shd w:val="clear" w:color="auto" w:fill="F8F8F8"/>
        </w:rPr>
        <w:t>Ruan Q, Yang K, Wang W, Jiang L, Song J. Clinical predictors of mortality due to COVID-19 based on an analysis of data of 150 patients from Wuhan, China. Intensive care medicine. 2020 May;46(5):846-8</w:t>
      </w:r>
      <w:r w:rsidR="00D337C3">
        <w:rPr>
          <w:rFonts w:asciiTheme="majorBidi" w:hAnsiTheme="majorBidi" w:cstheme="majorBidi"/>
          <w:shd w:val="clear" w:color="auto" w:fill="F8F8F8"/>
        </w:rPr>
        <w:t xml:space="preserve"> (</w:t>
      </w:r>
      <w:r w:rsidR="0049650C" w:rsidRPr="00C25BE7">
        <w:rPr>
          <w:rFonts w:asciiTheme="majorBidi" w:hAnsiTheme="majorBidi" w:cstheme="majorBidi"/>
          <w:shd w:val="clear" w:color="auto" w:fill="F8F8F8"/>
        </w:rPr>
        <w:t>PMID: 32125452</w:t>
      </w:r>
      <w:r w:rsidR="00D337C3">
        <w:rPr>
          <w:rFonts w:asciiTheme="majorBidi" w:hAnsiTheme="majorBidi" w:cstheme="majorBidi"/>
          <w:shd w:val="clear" w:color="auto" w:fill="F8F8F8"/>
        </w:rPr>
        <w:t>)</w:t>
      </w:r>
      <w:r w:rsidR="00D337C3" w:rsidRPr="0077498B">
        <w:rPr>
          <w:rFonts w:asciiTheme="majorBidi" w:hAnsiTheme="majorBidi" w:cstheme="majorBidi"/>
          <w:shd w:val="clear" w:color="auto" w:fill="F8F8F8"/>
        </w:rPr>
        <w:t>.</w:t>
      </w:r>
    </w:p>
  </w:endnote>
  <w:endnote w:id="25">
    <w:p w:rsidR="00A80222" w:rsidRPr="0077498B" w:rsidRDefault="00A80222" w:rsidP="00154BE3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5F0DDD" w:rsidRPr="005F0DDD">
        <w:rPr>
          <w:rFonts w:asciiTheme="majorBidi" w:hAnsiTheme="majorBidi" w:cstheme="majorBidi"/>
        </w:rPr>
        <w:t>Zheng C. Time course of lung changes at chest CT during recovery from Coronavirus Disease 2019 (COVID-</w:t>
      </w:r>
      <w:r w:rsidR="005F0DDD">
        <w:rPr>
          <w:rFonts w:asciiTheme="majorBidi" w:hAnsiTheme="majorBidi" w:cstheme="majorBidi"/>
        </w:rPr>
        <w:t>19). Radiology. 2020;295:715-21 (</w:t>
      </w:r>
      <w:r w:rsidR="00154BE3" w:rsidRPr="00154BE3">
        <w:rPr>
          <w:rFonts w:asciiTheme="majorBidi" w:hAnsiTheme="majorBidi" w:cstheme="majorBidi"/>
        </w:rPr>
        <w:t>PMID: 32053470</w:t>
      </w:r>
      <w:r w:rsidR="005F0DDD">
        <w:rPr>
          <w:rFonts w:asciiTheme="majorBidi" w:hAnsiTheme="majorBidi" w:cstheme="majorBidi"/>
        </w:rPr>
        <w:t>).</w:t>
      </w:r>
    </w:p>
  </w:endnote>
  <w:endnote w:id="26">
    <w:p w:rsidR="00B936FB" w:rsidRPr="0077498B" w:rsidRDefault="00B936FB" w:rsidP="00154BE3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9D6B4B" w:rsidRPr="009D6B4B">
        <w:rPr>
          <w:rFonts w:asciiTheme="majorBidi" w:hAnsiTheme="majorBidi" w:cstheme="majorBidi"/>
        </w:rPr>
        <w:t>Tang N, Li D, Wang X, Sun Z. Abnormal coagulation parameters are associated with poor prognosis in patients with novel coronavirus pneumonia. Journal of thrombosis and ha</w:t>
      </w:r>
      <w:r w:rsidR="009D6B4B">
        <w:rPr>
          <w:rFonts w:asciiTheme="majorBidi" w:hAnsiTheme="majorBidi" w:cstheme="majorBidi"/>
        </w:rPr>
        <w:t>emostasis. 2020 Apr;18(4):844-7 (</w:t>
      </w:r>
      <w:r w:rsidR="00154BE3" w:rsidRPr="00154BE3">
        <w:rPr>
          <w:rFonts w:asciiTheme="majorBidi" w:hAnsiTheme="majorBidi" w:cstheme="majorBidi"/>
        </w:rPr>
        <w:t>PMID: 32073213</w:t>
      </w:r>
      <w:r w:rsidR="009D6B4B">
        <w:rPr>
          <w:rFonts w:asciiTheme="majorBidi" w:hAnsiTheme="majorBidi" w:cstheme="majorBidi"/>
        </w:rPr>
        <w:t>).</w:t>
      </w:r>
    </w:p>
  </w:endnote>
  <w:endnote w:id="27">
    <w:p w:rsidR="00B936FB" w:rsidRPr="0077498B" w:rsidRDefault="00B936FB" w:rsidP="00EC08AD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5C410F" w:rsidRPr="005C410F">
        <w:rPr>
          <w:rFonts w:asciiTheme="majorBidi" w:hAnsiTheme="majorBidi" w:cstheme="majorBidi"/>
          <w:shd w:val="clear" w:color="auto" w:fill="F8F8F8"/>
        </w:rPr>
        <w:t xml:space="preserve">Levi M, Thachil J, Iba T, Levy JH. Coagulation abnormalities and thrombosis in patients with COVID-19. The Lancet. </w:t>
      </w:r>
      <w:r w:rsidR="005C410F">
        <w:rPr>
          <w:rFonts w:asciiTheme="majorBidi" w:hAnsiTheme="majorBidi" w:cstheme="majorBidi"/>
          <w:shd w:val="clear" w:color="auto" w:fill="F8F8F8"/>
        </w:rPr>
        <w:t>Haematology. 2020 Jun;7(6):e438 (</w:t>
      </w:r>
      <w:r w:rsidR="00EC08AD" w:rsidRPr="00EC08AD">
        <w:rPr>
          <w:rFonts w:asciiTheme="majorBidi" w:hAnsiTheme="majorBidi" w:cstheme="majorBidi"/>
          <w:shd w:val="clear" w:color="auto" w:fill="F8F8F8"/>
        </w:rPr>
        <w:t>PMID: 32407672</w:t>
      </w:r>
      <w:r w:rsidR="005C410F">
        <w:rPr>
          <w:rFonts w:asciiTheme="majorBidi" w:hAnsiTheme="majorBidi" w:cstheme="majorBidi"/>
          <w:shd w:val="clear" w:color="auto" w:fill="F8F8F8"/>
        </w:rPr>
        <w:t>)</w:t>
      </w:r>
      <w:r w:rsidRPr="0077498B">
        <w:rPr>
          <w:rFonts w:asciiTheme="majorBidi" w:hAnsiTheme="majorBidi" w:cstheme="majorBidi"/>
          <w:shd w:val="clear" w:color="auto" w:fill="F8F8F8"/>
        </w:rPr>
        <w:t>.</w:t>
      </w:r>
    </w:p>
  </w:endnote>
  <w:endnote w:id="28">
    <w:p w:rsidR="00B936FB" w:rsidRPr="0077498B" w:rsidRDefault="00B936FB" w:rsidP="001D4A9D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C4381B" w:rsidRPr="00C4381B">
        <w:rPr>
          <w:rFonts w:asciiTheme="majorBidi" w:hAnsiTheme="majorBidi" w:cstheme="majorBidi"/>
        </w:rPr>
        <w:t xml:space="preserve">Guan WJ, Ni ZY, Hu Y, </w:t>
      </w:r>
      <w:r w:rsidR="00C4381B">
        <w:rPr>
          <w:rFonts w:asciiTheme="majorBidi" w:hAnsiTheme="majorBidi" w:cstheme="majorBidi"/>
        </w:rPr>
        <w:t>et al</w:t>
      </w:r>
      <w:r w:rsidR="00C4381B" w:rsidRPr="00C4381B">
        <w:rPr>
          <w:rFonts w:asciiTheme="majorBidi" w:hAnsiTheme="majorBidi" w:cstheme="majorBidi"/>
        </w:rPr>
        <w:t>. Clinical characteristics of coronavirus disease 2019 in China. New England journal of medicine. 2020 Apr 30;382(18):1708-20</w:t>
      </w:r>
      <w:r w:rsidR="00684392">
        <w:rPr>
          <w:rFonts w:asciiTheme="majorBidi" w:hAnsiTheme="majorBidi" w:cstheme="majorBidi"/>
        </w:rPr>
        <w:t xml:space="preserve"> (</w:t>
      </w:r>
      <w:r w:rsidR="001D4A9D" w:rsidRPr="001D4A9D">
        <w:rPr>
          <w:rFonts w:asciiTheme="majorBidi" w:hAnsiTheme="majorBidi" w:cstheme="majorBidi"/>
        </w:rPr>
        <w:t>PMID: 32109013</w:t>
      </w:r>
      <w:r w:rsidR="00684392">
        <w:rPr>
          <w:rFonts w:asciiTheme="majorBidi" w:hAnsiTheme="majorBidi" w:cstheme="majorBidi"/>
        </w:rPr>
        <w:t>)</w:t>
      </w:r>
      <w:r w:rsidR="00C4381B" w:rsidRPr="00C4381B">
        <w:rPr>
          <w:rFonts w:asciiTheme="majorBidi" w:hAnsiTheme="majorBidi" w:cstheme="majorBidi"/>
        </w:rPr>
        <w:t>.</w:t>
      </w:r>
    </w:p>
  </w:endnote>
  <w:endnote w:id="29">
    <w:p w:rsidR="00B936FB" w:rsidRPr="0077498B" w:rsidRDefault="00B936FB" w:rsidP="00111E93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1957D8" w:rsidRPr="001957D8">
        <w:rPr>
          <w:rFonts w:asciiTheme="majorBidi" w:hAnsiTheme="majorBidi" w:cstheme="majorBidi"/>
        </w:rPr>
        <w:t xml:space="preserve">Zhou F, Yu T, Du R, </w:t>
      </w:r>
      <w:r w:rsidR="001957D8">
        <w:rPr>
          <w:rFonts w:asciiTheme="majorBidi" w:hAnsiTheme="majorBidi" w:cstheme="majorBidi"/>
        </w:rPr>
        <w:t>et al</w:t>
      </w:r>
      <w:r w:rsidR="001957D8" w:rsidRPr="001957D8">
        <w:rPr>
          <w:rFonts w:asciiTheme="majorBidi" w:hAnsiTheme="majorBidi" w:cstheme="majorBidi"/>
        </w:rPr>
        <w:t>. Clinical course and risk factors for mortality of adult inpatients with COVID-19 in Wuhan, China: a retrospective cohort</w:t>
      </w:r>
      <w:r w:rsidR="001957D8">
        <w:rPr>
          <w:rFonts w:asciiTheme="majorBidi" w:hAnsiTheme="majorBidi" w:cstheme="majorBidi"/>
        </w:rPr>
        <w:t xml:space="preserve"> study. The lancet. 2020 Mar 11 (</w:t>
      </w:r>
      <w:r w:rsidR="00111E93" w:rsidRPr="00111E93">
        <w:rPr>
          <w:rFonts w:asciiTheme="majorBidi" w:hAnsiTheme="majorBidi" w:cstheme="majorBidi"/>
        </w:rPr>
        <w:t>PMID: 32171076</w:t>
      </w:r>
      <w:r w:rsidR="001957D8"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30">
    <w:p w:rsidR="003A286C" w:rsidRPr="0077498B" w:rsidRDefault="003A286C" w:rsidP="00111E93">
      <w:pPr>
        <w:pStyle w:val="EndnoteText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Fan BE, Chong VC, Chan SS, </w:t>
      </w:r>
      <w:r w:rsidR="0073247D">
        <w:rPr>
          <w:rFonts w:asciiTheme="majorBidi" w:hAnsiTheme="majorBidi" w:cstheme="majorBidi"/>
        </w:rPr>
        <w:t>et al</w:t>
      </w:r>
      <w:r w:rsidRPr="0077498B">
        <w:rPr>
          <w:rFonts w:asciiTheme="majorBidi" w:hAnsiTheme="majorBidi" w:cstheme="majorBidi"/>
        </w:rPr>
        <w:t>. Hematologic parameters in patients with COVID</w:t>
      </w:r>
      <w:r w:rsidRPr="0077498B">
        <w:rPr>
          <w:rFonts w:ascii="Cambria Math" w:hAnsi="Cambria Math" w:cs="Cambria Math"/>
        </w:rPr>
        <w:t>‐</w:t>
      </w:r>
      <w:r w:rsidRPr="0077498B">
        <w:rPr>
          <w:rFonts w:asciiTheme="majorBidi" w:hAnsiTheme="majorBidi" w:cstheme="majorBidi"/>
        </w:rPr>
        <w:t>19 infection. American journal of hematology. 2020 Jun;95(6):E131-4</w:t>
      </w:r>
      <w:r w:rsidR="0073247D">
        <w:rPr>
          <w:rFonts w:asciiTheme="majorBidi" w:hAnsiTheme="majorBidi" w:cstheme="majorBidi"/>
        </w:rPr>
        <w:t xml:space="preserve"> (</w:t>
      </w:r>
      <w:r w:rsidR="00111E93" w:rsidRPr="00111E93">
        <w:rPr>
          <w:rFonts w:asciiTheme="majorBidi" w:hAnsiTheme="majorBidi" w:cstheme="majorBidi"/>
        </w:rPr>
        <w:t>PMID: 32129508</w:t>
      </w:r>
      <w:r w:rsidR="0073247D"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31">
    <w:p w:rsidR="00CB6A0B" w:rsidRPr="0077498B" w:rsidRDefault="00CB6A0B" w:rsidP="00111E93">
      <w:pPr>
        <w:pStyle w:val="EndnoteText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Yuan J, Zou R, Zeng L, </w:t>
      </w:r>
      <w:r w:rsidR="00585219">
        <w:rPr>
          <w:rFonts w:asciiTheme="majorBidi" w:hAnsiTheme="majorBidi" w:cstheme="majorBidi"/>
        </w:rPr>
        <w:t>et al</w:t>
      </w:r>
      <w:r w:rsidRPr="0077498B">
        <w:rPr>
          <w:rFonts w:asciiTheme="majorBidi" w:hAnsiTheme="majorBidi" w:cstheme="majorBidi"/>
        </w:rPr>
        <w:t>. The correlation between viral clearance and biochemical outcomes of 94 COVID-19 infected discharged patients. Inflammation Research. 2020 Jan 1:1-8</w:t>
      </w:r>
      <w:r w:rsidR="00585219">
        <w:rPr>
          <w:rFonts w:asciiTheme="majorBidi" w:hAnsiTheme="majorBidi" w:cstheme="majorBidi"/>
        </w:rPr>
        <w:t xml:space="preserve"> (</w:t>
      </w:r>
      <w:r w:rsidR="00111E93" w:rsidRPr="00111E93">
        <w:rPr>
          <w:rFonts w:asciiTheme="majorBidi" w:hAnsiTheme="majorBidi" w:cstheme="majorBidi"/>
        </w:rPr>
        <w:t>PMID: 32227274</w:t>
      </w:r>
      <w:r w:rsidR="00585219"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32">
    <w:p w:rsidR="00CB6A0B" w:rsidRPr="0077498B" w:rsidRDefault="00CB6A0B" w:rsidP="009876E8">
      <w:pPr>
        <w:pStyle w:val="EndnoteText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Chen N, Zhou M, Dong X, et al. Epidemiological and clinical characteristics of 99 cases of 2019 novel coronavirus pneumonia in Wuhan, China: a descriptive study. The Lancet. 2020;395(10223):507–13</w:t>
      </w:r>
      <w:r w:rsidR="00BA4CBA">
        <w:rPr>
          <w:rFonts w:asciiTheme="majorBidi" w:hAnsiTheme="majorBidi" w:cstheme="majorBidi"/>
        </w:rPr>
        <w:t xml:space="preserve"> (</w:t>
      </w:r>
      <w:r w:rsidR="00111E93" w:rsidRPr="00111E93">
        <w:rPr>
          <w:rFonts w:asciiTheme="majorBidi" w:hAnsiTheme="majorBidi" w:cstheme="majorBidi"/>
        </w:rPr>
        <w:t>PMID: 32007143</w:t>
      </w:r>
      <w:r w:rsidR="00BA4CBA"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33">
    <w:p w:rsidR="009876E8" w:rsidRDefault="009876E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7498B">
        <w:rPr>
          <w:rFonts w:asciiTheme="majorBidi" w:hAnsiTheme="majorBidi" w:cstheme="majorBidi"/>
        </w:rPr>
        <w:t xml:space="preserve">Mardani R, Vasmehjani AA, Zali F, </w:t>
      </w:r>
      <w:r>
        <w:rPr>
          <w:rFonts w:asciiTheme="majorBidi" w:hAnsiTheme="majorBidi" w:cstheme="majorBidi"/>
        </w:rPr>
        <w:t>et al</w:t>
      </w:r>
      <w:r w:rsidRPr="0077498B">
        <w:rPr>
          <w:rFonts w:asciiTheme="majorBidi" w:hAnsiTheme="majorBidi" w:cstheme="majorBidi"/>
        </w:rPr>
        <w:t>. Laboratory parameters in detection of COVID-19 patients with positive RT-PCR; a diagnostic accuracy study. Archives of Academic Emergency Medicine. 2020;8(1)</w:t>
      </w:r>
      <w:r>
        <w:rPr>
          <w:rFonts w:asciiTheme="majorBidi" w:hAnsiTheme="majorBidi" w:cstheme="majorBidi"/>
        </w:rPr>
        <w:t xml:space="preserve"> (</w:t>
      </w:r>
      <w:r w:rsidRPr="00111E93">
        <w:rPr>
          <w:rFonts w:asciiTheme="majorBidi" w:hAnsiTheme="majorBidi" w:cstheme="majorBidi"/>
        </w:rPr>
        <w:t>PMID: 32259132</w:t>
      </w:r>
      <w:r>
        <w:rPr>
          <w:rFonts w:asciiTheme="majorBidi" w:hAnsiTheme="majorBidi" w:cstheme="majorBidi"/>
        </w:rPr>
        <w:t>)</w:t>
      </w:r>
      <w:r w:rsidRPr="0077498B">
        <w:rPr>
          <w:rFonts w:asciiTheme="majorBidi" w:hAnsiTheme="majorBidi" w:cstheme="majorBidi"/>
        </w:rPr>
        <w:t>.</w:t>
      </w:r>
    </w:p>
  </w:endnote>
  <w:endnote w:id="34">
    <w:p w:rsidR="00C05958" w:rsidRPr="0077498B" w:rsidRDefault="00C05958" w:rsidP="00111E93">
      <w:pPr>
        <w:pStyle w:val="EndnoteText"/>
        <w:contextualSpacing/>
        <w:jc w:val="both"/>
        <w:rPr>
          <w:rFonts w:asciiTheme="majorBidi" w:hAnsiTheme="majorBidi" w:cstheme="majorBidi"/>
        </w:rPr>
      </w:pPr>
      <w:r w:rsidRPr="0077498B">
        <w:rPr>
          <w:rStyle w:val="EndnoteReference"/>
          <w:rFonts w:asciiTheme="majorBidi" w:hAnsiTheme="majorBidi" w:cstheme="majorBidi"/>
        </w:rPr>
        <w:endnoteRef/>
      </w:r>
      <w:r w:rsidRPr="0077498B">
        <w:rPr>
          <w:rFonts w:asciiTheme="majorBidi" w:hAnsiTheme="majorBidi" w:cstheme="majorBidi"/>
        </w:rPr>
        <w:t xml:space="preserve"> </w:t>
      </w:r>
      <w:r w:rsidR="00BA4CBA" w:rsidRPr="005E434F">
        <w:rPr>
          <w:rFonts w:asciiTheme="majorBidi" w:hAnsiTheme="majorBidi" w:cstheme="majorBidi"/>
          <w:shd w:val="clear" w:color="auto" w:fill="F8F8F8"/>
        </w:rPr>
        <w:t>Ruan Q, Yang K, Wang W, Jiang L, Song J. Clinical predictors of mortality due to COVID-19 based on an analysis of data of 150 patients from Wuhan, China. Intensive care medicine. 2020 May;46(5):846-8</w:t>
      </w:r>
      <w:r w:rsidR="00BA4CBA">
        <w:rPr>
          <w:rFonts w:asciiTheme="majorBidi" w:hAnsiTheme="majorBidi" w:cstheme="majorBidi"/>
          <w:shd w:val="clear" w:color="auto" w:fill="F8F8F8"/>
        </w:rPr>
        <w:t xml:space="preserve"> (</w:t>
      </w:r>
      <w:r w:rsidR="00111E93" w:rsidRPr="00C25BE7">
        <w:rPr>
          <w:rFonts w:asciiTheme="majorBidi" w:hAnsiTheme="majorBidi" w:cstheme="majorBidi"/>
          <w:shd w:val="clear" w:color="auto" w:fill="F8F8F8"/>
        </w:rPr>
        <w:t>PMID: 32125452</w:t>
      </w:r>
      <w:r w:rsidR="00BA4CBA">
        <w:rPr>
          <w:rFonts w:asciiTheme="majorBidi" w:hAnsiTheme="majorBidi" w:cstheme="majorBidi"/>
          <w:shd w:val="clear" w:color="auto" w:fill="F8F8F8"/>
        </w:rPr>
        <w:t>)</w:t>
      </w:r>
      <w:r w:rsidR="00BA4CBA" w:rsidRPr="0077498B">
        <w:rPr>
          <w:rFonts w:asciiTheme="majorBidi" w:hAnsiTheme="majorBidi" w:cstheme="majorBidi"/>
          <w:shd w:val="clear" w:color="auto" w:fill="F8F8F8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749" w:rsidRDefault="006F0749" w:rsidP="00082ED0">
      <w:pPr>
        <w:spacing w:after="0" w:line="240" w:lineRule="auto"/>
      </w:pPr>
      <w:r>
        <w:separator/>
      </w:r>
    </w:p>
  </w:footnote>
  <w:footnote w:type="continuationSeparator" w:id="0">
    <w:p w:rsidR="006F0749" w:rsidRDefault="006F0749" w:rsidP="00082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5362CE"/>
    <w:multiLevelType w:val="hybridMultilevel"/>
    <w:tmpl w:val="5ED43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62"/>
    <w:rsid w:val="000050F6"/>
    <w:rsid w:val="00011715"/>
    <w:rsid w:val="000162D4"/>
    <w:rsid w:val="0001646C"/>
    <w:rsid w:val="00017BAB"/>
    <w:rsid w:val="000236BB"/>
    <w:rsid w:val="00032588"/>
    <w:rsid w:val="00042FB7"/>
    <w:rsid w:val="000435ED"/>
    <w:rsid w:val="00043E2D"/>
    <w:rsid w:val="000479FF"/>
    <w:rsid w:val="0005043C"/>
    <w:rsid w:val="000566FD"/>
    <w:rsid w:val="000711B1"/>
    <w:rsid w:val="00074EE6"/>
    <w:rsid w:val="00077A55"/>
    <w:rsid w:val="00082ED0"/>
    <w:rsid w:val="00083148"/>
    <w:rsid w:val="00085CA7"/>
    <w:rsid w:val="00085EEC"/>
    <w:rsid w:val="000A3098"/>
    <w:rsid w:val="000C08EF"/>
    <w:rsid w:val="000D1C44"/>
    <w:rsid w:val="000D29E1"/>
    <w:rsid w:val="000D4541"/>
    <w:rsid w:val="000D6348"/>
    <w:rsid w:val="000E0D3C"/>
    <w:rsid w:val="000E4903"/>
    <w:rsid w:val="000F3A73"/>
    <w:rsid w:val="0010099A"/>
    <w:rsid w:val="00101537"/>
    <w:rsid w:val="001017B9"/>
    <w:rsid w:val="00101FDD"/>
    <w:rsid w:val="00102A6E"/>
    <w:rsid w:val="00106E15"/>
    <w:rsid w:val="00107F6F"/>
    <w:rsid w:val="00111E93"/>
    <w:rsid w:val="00123819"/>
    <w:rsid w:val="00136B4E"/>
    <w:rsid w:val="00136D26"/>
    <w:rsid w:val="0013774E"/>
    <w:rsid w:val="00147940"/>
    <w:rsid w:val="00154BE3"/>
    <w:rsid w:val="001558C1"/>
    <w:rsid w:val="0016564C"/>
    <w:rsid w:val="00167BA6"/>
    <w:rsid w:val="00171248"/>
    <w:rsid w:val="00173108"/>
    <w:rsid w:val="00177A52"/>
    <w:rsid w:val="00180088"/>
    <w:rsid w:val="00183C22"/>
    <w:rsid w:val="001957D8"/>
    <w:rsid w:val="001C073E"/>
    <w:rsid w:val="001C3F06"/>
    <w:rsid w:val="001C45F6"/>
    <w:rsid w:val="001D4A9D"/>
    <w:rsid w:val="001F06AE"/>
    <w:rsid w:val="002060C0"/>
    <w:rsid w:val="002076EB"/>
    <w:rsid w:val="002269F0"/>
    <w:rsid w:val="002363D9"/>
    <w:rsid w:val="002425E0"/>
    <w:rsid w:val="00255345"/>
    <w:rsid w:val="002573F2"/>
    <w:rsid w:val="00266986"/>
    <w:rsid w:val="00275052"/>
    <w:rsid w:val="00281439"/>
    <w:rsid w:val="00287206"/>
    <w:rsid w:val="00291812"/>
    <w:rsid w:val="002A0569"/>
    <w:rsid w:val="002A60B8"/>
    <w:rsid w:val="002B3051"/>
    <w:rsid w:val="002B7E33"/>
    <w:rsid w:val="002C0C8F"/>
    <w:rsid w:val="002D4C8C"/>
    <w:rsid w:val="002D7920"/>
    <w:rsid w:val="002E4339"/>
    <w:rsid w:val="002F1525"/>
    <w:rsid w:val="002F3E2C"/>
    <w:rsid w:val="002F60D7"/>
    <w:rsid w:val="002F64EE"/>
    <w:rsid w:val="00303D79"/>
    <w:rsid w:val="00320688"/>
    <w:rsid w:val="00322BC2"/>
    <w:rsid w:val="00333E7A"/>
    <w:rsid w:val="00341BD9"/>
    <w:rsid w:val="003464D8"/>
    <w:rsid w:val="00364F34"/>
    <w:rsid w:val="003822E2"/>
    <w:rsid w:val="003879E2"/>
    <w:rsid w:val="003A286C"/>
    <w:rsid w:val="003A3CCB"/>
    <w:rsid w:val="003B1CB7"/>
    <w:rsid w:val="003B2086"/>
    <w:rsid w:val="003B4517"/>
    <w:rsid w:val="003E4B05"/>
    <w:rsid w:val="003F2F55"/>
    <w:rsid w:val="00405BF1"/>
    <w:rsid w:val="0040671F"/>
    <w:rsid w:val="004156F8"/>
    <w:rsid w:val="0042350A"/>
    <w:rsid w:val="00425340"/>
    <w:rsid w:val="00431223"/>
    <w:rsid w:val="004417E5"/>
    <w:rsid w:val="00444506"/>
    <w:rsid w:val="00445ED2"/>
    <w:rsid w:val="004619AD"/>
    <w:rsid w:val="00465EDA"/>
    <w:rsid w:val="00472DF0"/>
    <w:rsid w:val="0047555B"/>
    <w:rsid w:val="00485216"/>
    <w:rsid w:val="00485A17"/>
    <w:rsid w:val="0049650C"/>
    <w:rsid w:val="004A0E99"/>
    <w:rsid w:val="004A23B1"/>
    <w:rsid w:val="004B718C"/>
    <w:rsid w:val="004C2A0F"/>
    <w:rsid w:val="004D0233"/>
    <w:rsid w:val="004E1575"/>
    <w:rsid w:val="004E4B40"/>
    <w:rsid w:val="004E558A"/>
    <w:rsid w:val="004E63CA"/>
    <w:rsid w:val="00506548"/>
    <w:rsid w:val="00517752"/>
    <w:rsid w:val="00522381"/>
    <w:rsid w:val="00527EA6"/>
    <w:rsid w:val="00535C18"/>
    <w:rsid w:val="005411DC"/>
    <w:rsid w:val="00545AC6"/>
    <w:rsid w:val="00552F7D"/>
    <w:rsid w:val="00571654"/>
    <w:rsid w:val="0057500F"/>
    <w:rsid w:val="00582383"/>
    <w:rsid w:val="00585219"/>
    <w:rsid w:val="005975D0"/>
    <w:rsid w:val="005A4023"/>
    <w:rsid w:val="005A4321"/>
    <w:rsid w:val="005B0485"/>
    <w:rsid w:val="005B26B5"/>
    <w:rsid w:val="005B2EA7"/>
    <w:rsid w:val="005C410F"/>
    <w:rsid w:val="005C56A1"/>
    <w:rsid w:val="005D0091"/>
    <w:rsid w:val="005D0D7B"/>
    <w:rsid w:val="005D225F"/>
    <w:rsid w:val="005D65E9"/>
    <w:rsid w:val="005E0CDB"/>
    <w:rsid w:val="005E434F"/>
    <w:rsid w:val="005E6DD6"/>
    <w:rsid w:val="005F0DDD"/>
    <w:rsid w:val="0060207C"/>
    <w:rsid w:val="00603A26"/>
    <w:rsid w:val="00616F21"/>
    <w:rsid w:val="00622D1D"/>
    <w:rsid w:val="00622F7D"/>
    <w:rsid w:val="00633E78"/>
    <w:rsid w:val="00637F67"/>
    <w:rsid w:val="006423F8"/>
    <w:rsid w:val="006445AD"/>
    <w:rsid w:val="0064793D"/>
    <w:rsid w:val="00651D44"/>
    <w:rsid w:val="006532E7"/>
    <w:rsid w:val="00671128"/>
    <w:rsid w:val="0067510E"/>
    <w:rsid w:val="00681F29"/>
    <w:rsid w:val="00683042"/>
    <w:rsid w:val="00684392"/>
    <w:rsid w:val="006858F0"/>
    <w:rsid w:val="006861F0"/>
    <w:rsid w:val="00687767"/>
    <w:rsid w:val="006919CD"/>
    <w:rsid w:val="00692A27"/>
    <w:rsid w:val="006940AE"/>
    <w:rsid w:val="006C50A5"/>
    <w:rsid w:val="006C7E9F"/>
    <w:rsid w:val="006D2B48"/>
    <w:rsid w:val="006D44AD"/>
    <w:rsid w:val="006D4D44"/>
    <w:rsid w:val="006F0749"/>
    <w:rsid w:val="00703721"/>
    <w:rsid w:val="00721541"/>
    <w:rsid w:val="007312F6"/>
    <w:rsid w:val="007317E7"/>
    <w:rsid w:val="0073247D"/>
    <w:rsid w:val="00735328"/>
    <w:rsid w:val="007403D2"/>
    <w:rsid w:val="00747B87"/>
    <w:rsid w:val="00767AC9"/>
    <w:rsid w:val="00767CBC"/>
    <w:rsid w:val="0077498B"/>
    <w:rsid w:val="00775A17"/>
    <w:rsid w:val="007819B1"/>
    <w:rsid w:val="00796F36"/>
    <w:rsid w:val="007A1423"/>
    <w:rsid w:val="007A1B45"/>
    <w:rsid w:val="007B0B9F"/>
    <w:rsid w:val="007B7ADE"/>
    <w:rsid w:val="007F1A89"/>
    <w:rsid w:val="00800C35"/>
    <w:rsid w:val="00803598"/>
    <w:rsid w:val="00812242"/>
    <w:rsid w:val="00862C35"/>
    <w:rsid w:val="00896ABC"/>
    <w:rsid w:val="008B1460"/>
    <w:rsid w:val="008B567C"/>
    <w:rsid w:val="008C42A7"/>
    <w:rsid w:val="008F264F"/>
    <w:rsid w:val="008F721E"/>
    <w:rsid w:val="00911CA8"/>
    <w:rsid w:val="00915158"/>
    <w:rsid w:val="009442EB"/>
    <w:rsid w:val="00944802"/>
    <w:rsid w:val="0094621A"/>
    <w:rsid w:val="00947A30"/>
    <w:rsid w:val="009513D3"/>
    <w:rsid w:val="00954842"/>
    <w:rsid w:val="009648A7"/>
    <w:rsid w:val="00964D38"/>
    <w:rsid w:val="00982008"/>
    <w:rsid w:val="0098269F"/>
    <w:rsid w:val="00983F59"/>
    <w:rsid w:val="009876E8"/>
    <w:rsid w:val="0099056D"/>
    <w:rsid w:val="00997942"/>
    <w:rsid w:val="009C6B27"/>
    <w:rsid w:val="009D5E49"/>
    <w:rsid w:val="009D6B4B"/>
    <w:rsid w:val="00A1580C"/>
    <w:rsid w:val="00A22362"/>
    <w:rsid w:val="00A27D40"/>
    <w:rsid w:val="00A61383"/>
    <w:rsid w:val="00A67195"/>
    <w:rsid w:val="00A80222"/>
    <w:rsid w:val="00A87CFF"/>
    <w:rsid w:val="00A90235"/>
    <w:rsid w:val="00A96A10"/>
    <w:rsid w:val="00AB66A1"/>
    <w:rsid w:val="00AB7922"/>
    <w:rsid w:val="00AC0A40"/>
    <w:rsid w:val="00AC0C25"/>
    <w:rsid w:val="00AC414A"/>
    <w:rsid w:val="00AD0623"/>
    <w:rsid w:val="00AE06BB"/>
    <w:rsid w:val="00AE1AAF"/>
    <w:rsid w:val="00B02FE6"/>
    <w:rsid w:val="00B17D09"/>
    <w:rsid w:val="00B246A3"/>
    <w:rsid w:val="00B67C43"/>
    <w:rsid w:val="00B936FB"/>
    <w:rsid w:val="00B947E1"/>
    <w:rsid w:val="00BA4CBA"/>
    <w:rsid w:val="00BB375F"/>
    <w:rsid w:val="00BB4669"/>
    <w:rsid w:val="00BB493D"/>
    <w:rsid w:val="00BC05C8"/>
    <w:rsid w:val="00BC13D9"/>
    <w:rsid w:val="00BE36C5"/>
    <w:rsid w:val="00BE43F0"/>
    <w:rsid w:val="00BF4F34"/>
    <w:rsid w:val="00C02960"/>
    <w:rsid w:val="00C05958"/>
    <w:rsid w:val="00C12B30"/>
    <w:rsid w:val="00C25BE7"/>
    <w:rsid w:val="00C32287"/>
    <w:rsid w:val="00C358C1"/>
    <w:rsid w:val="00C4381B"/>
    <w:rsid w:val="00C557D5"/>
    <w:rsid w:val="00C61ADD"/>
    <w:rsid w:val="00C7047B"/>
    <w:rsid w:val="00C84132"/>
    <w:rsid w:val="00C93847"/>
    <w:rsid w:val="00C948E7"/>
    <w:rsid w:val="00CA19AA"/>
    <w:rsid w:val="00CA1B52"/>
    <w:rsid w:val="00CB4944"/>
    <w:rsid w:val="00CB6A0B"/>
    <w:rsid w:val="00CC31BD"/>
    <w:rsid w:val="00CC3EAF"/>
    <w:rsid w:val="00CC5F2A"/>
    <w:rsid w:val="00CD3A81"/>
    <w:rsid w:val="00CE55E2"/>
    <w:rsid w:val="00CE579F"/>
    <w:rsid w:val="00D01BCF"/>
    <w:rsid w:val="00D02DE3"/>
    <w:rsid w:val="00D0353D"/>
    <w:rsid w:val="00D1212B"/>
    <w:rsid w:val="00D12F46"/>
    <w:rsid w:val="00D169D8"/>
    <w:rsid w:val="00D20A06"/>
    <w:rsid w:val="00D21377"/>
    <w:rsid w:val="00D2409B"/>
    <w:rsid w:val="00D31A56"/>
    <w:rsid w:val="00D322F0"/>
    <w:rsid w:val="00D337C3"/>
    <w:rsid w:val="00D340E1"/>
    <w:rsid w:val="00D5061E"/>
    <w:rsid w:val="00D65DB5"/>
    <w:rsid w:val="00D731DB"/>
    <w:rsid w:val="00D7663B"/>
    <w:rsid w:val="00D77E74"/>
    <w:rsid w:val="00D82DFB"/>
    <w:rsid w:val="00D87EAF"/>
    <w:rsid w:val="00D953B0"/>
    <w:rsid w:val="00DA62C4"/>
    <w:rsid w:val="00DB4074"/>
    <w:rsid w:val="00DB6C3A"/>
    <w:rsid w:val="00DB7615"/>
    <w:rsid w:val="00DD642B"/>
    <w:rsid w:val="00DE2D74"/>
    <w:rsid w:val="00DE6EAD"/>
    <w:rsid w:val="00DF1CA3"/>
    <w:rsid w:val="00E016D3"/>
    <w:rsid w:val="00E13548"/>
    <w:rsid w:val="00E21437"/>
    <w:rsid w:val="00E21CC2"/>
    <w:rsid w:val="00E26C63"/>
    <w:rsid w:val="00E276EE"/>
    <w:rsid w:val="00E3141A"/>
    <w:rsid w:val="00E31C78"/>
    <w:rsid w:val="00E401D4"/>
    <w:rsid w:val="00E419AB"/>
    <w:rsid w:val="00E529A6"/>
    <w:rsid w:val="00E53BFC"/>
    <w:rsid w:val="00E631AB"/>
    <w:rsid w:val="00E7300A"/>
    <w:rsid w:val="00E760D3"/>
    <w:rsid w:val="00E82705"/>
    <w:rsid w:val="00E92CBF"/>
    <w:rsid w:val="00E94FD1"/>
    <w:rsid w:val="00E96E12"/>
    <w:rsid w:val="00EC08AD"/>
    <w:rsid w:val="00EE29B3"/>
    <w:rsid w:val="00EE4EE9"/>
    <w:rsid w:val="00EF5AD0"/>
    <w:rsid w:val="00F06844"/>
    <w:rsid w:val="00F103F8"/>
    <w:rsid w:val="00F12AC3"/>
    <w:rsid w:val="00F26BD0"/>
    <w:rsid w:val="00F31F6A"/>
    <w:rsid w:val="00F32874"/>
    <w:rsid w:val="00F40346"/>
    <w:rsid w:val="00F412BC"/>
    <w:rsid w:val="00F44E38"/>
    <w:rsid w:val="00F545D1"/>
    <w:rsid w:val="00F62703"/>
    <w:rsid w:val="00F630C5"/>
    <w:rsid w:val="00F7409C"/>
    <w:rsid w:val="00F80A52"/>
    <w:rsid w:val="00F90FAF"/>
    <w:rsid w:val="00F9499C"/>
    <w:rsid w:val="00FA29C3"/>
    <w:rsid w:val="00FA45F2"/>
    <w:rsid w:val="00FA5545"/>
    <w:rsid w:val="00FB3A07"/>
    <w:rsid w:val="00FD027B"/>
    <w:rsid w:val="00FD0640"/>
    <w:rsid w:val="00FD26CB"/>
    <w:rsid w:val="00FD5005"/>
    <w:rsid w:val="00FF0FAC"/>
    <w:rsid w:val="00FF458E"/>
    <w:rsid w:val="00FF56E4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836A"/>
  <w15:chartTrackingRefBased/>
  <w15:docId w15:val="{A044069C-0F58-4373-B563-24CDD8BA3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0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082ED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2ED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82ED0"/>
    <w:rPr>
      <w:vertAlign w:val="superscript"/>
    </w:rPr>
  </w:style>
  <w:style w:type="table" w:styleId="TableGrid">
    <w:name w:val="Table Grid"/>
    <w:basedOn w:val="TableNormal"/>
    <w:uiPriority w:val="39"/>
    <w:rsid w:val="00011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1171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6">
    <w:name w:val="Grid Table 6 Colorful Accent 6"/>
    <w:basedOn w:val="TableNormal"/>
    <w:uiPriority w:val="51"/>
    <w:rsid w:val="004E157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997942"/>
    <w:rPr>
      <w:color w:val="0563C1" w:themeColor="hyperlink"/>
      <w:u w:val="single"/>
    </w:rPr>
  </w:style>
  <w:style w:type="character" w:customStyle="1" w:styleId="text-node">
    <w:name w:val="text-node"/>
    <w:basedOn w:val="DefaultParagraphFont"/>
    <w:rsid w:val="007A1B45"/>
  </w:style>
  <w:style w:type="paragraph" w:styleId="ListParagraph">
    <w:name w:val="List Paragraph"/>
    <w:basedOn w:val="Normal"/>
    <w:uiPriority w:val="34"/>
    <w:qFormat/>
    <w:rsid w:val="000435ED"/>
    <w:pPr>
      <w:ind w:left="720"/>
      <w:contextualSpacing/>
    </w:pPr>
  </w:style>
  <w:style w:type="paragraph" w:styleId="NoSpacing">
    <w:name w:val="No Spacing"/>
    <w:uiPriority w:val="1"/>
    <w:qFormat/>
    <w:rsid w:val="00E016D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D2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740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15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2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4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9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3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4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9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0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53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kioumarsi.a\Desktop\COVID\New%20folder\(https:\doi.org\10.1097\SLA.000000000000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BFF5-509E-4784-8005-EDC36732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2612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DaryaStore</dc:creator>
  <cp:keywords/>
  <dc:description/>
  <cp:lastModifiedBy>DaryaStore</cp:lastModifiedBy>
  <cp:revision>2</cp:revision>
  <dcterms:created xsi:type="dcterms:W3CDTF">2020-08-17T03:28:00Z</dcterms:created>
  <dcterms:modified xsi:type="dcterms:W3CDTF">2020-08-17T03:28:00Z</dcterms:modified>
</cp:coreProperties>
</file>