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62CE56" w14:textId="35F149DB" w:rsidR="00C21A0E" w:rsidRDefault="00C21A0E" w:rsidP="00C21A0E">
      <w:pPr>
        <w:pStyle w:val="Heading1"/>
        <w:rPr>
          <w:lang w:val="en-US"/>
        </w:rPr>
      </w:pPr>
      <w:r>
        <w:rPr>
          <w:lang w:val="en-US"/>
        </w:rPr>
        <w:t>Performance validation of a novel Point-Of-Care hematology analyzer that may assist in early screening for blood cancers</w:t>
      </w:r>
    </w:p>
    <w:p w14:paraId="7330E5EA" w14:textId="77777777" w:rsidR="00C21A0E" w:rsidRPr="00C21A0E" w:rsidRDefault="00C21A0E" w:rsidP="00C21A0E">
      <w:pPr>
        <w:rPr>
          <w:lang w:val="en-US"/>
        </w:rPr>
      </w:pPr>
    </w:p>
    <w:p w14:paraId="551136A0" w14:textId="0D50865E" w:rsidR="00C21A0E" w:rsidRPr="00C21A0E" w:rsidRDefault="00C21A0E" w:rsidP="00D83426">
      <w:pPr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C21A0E">
        <w:rPr>
          <w:rFonts w:asciiTheme="majorBidi" w:hAnsiTheme="majorBidi" w:cstheme="majorBidi"/>
          <w:b/>
          <w:bCs/>
          <w:sz w:val="24"/>
          <w:szCs w:val="24"/>
          <w:lang w:val="en-US"/>
        </w:rPr>
        <w:t>Dr. Avishay Bransky, PixCell Medical, Israel</w:t>
      </w:r>
    </w:p>
    <w:p w14:paraId="54E6433A" w14:textId="38CE153A" w:rsidR="00BE786D" w:rsidRDefault="00CB6B1B" w:rsidP="00D83426">
      <w:pPr>
        <w:rPr>
          <w:rFonts w:asciiTheme="majorBidi" w:hAnsiTheme="majorBidi" w:cstheme="majorBidi"/>
          <w:sz w:val="24"/>
          <w:szCs w:val="24"/>
          <w:lang w:val="en-US"/>
        </w:rPr>
      </w:pPr>
      <w:r w:rsidRPr="00112FC3">
        <w:rPr>
          <w:rFonts w:asciiTheme="majorBidi" w:hAnsiTheme="majorBidi" w:cstheme="majorBidi"/>
          <w:sz w:val="24"/>
          <w:szCs w:val="24"/>
        </w:rPr>
        <w:t xml:space="preserve">The </w:t>
      </w:r>
      <w:r>
        <w:rPr>
          <w:rFonts w:asciiTheme="majorBidi" w:hAnsiTheme="majorBidi" w:cstheme="majorBidi"/>
          <w:sz w:val="24"/>
          <w:szCs w:val="24"/>
        </w:rPr>
        <w:t>complete blood count (</w:t>
      </w:r>
      <w:r w:rsidRPr="00112FC3">
        <w:rPr>
          <w:rFonts w:asciiTheme="majorBidi" w:hAnsiTheme="majorBidi" w:cstheme="majorBidi"/>
          <w:sz w:val="24"/>
          <w:szCs w:val="24"/>
        </w:rPr>
        <w:t>CBC</w:t>
      </w:r>
      <w:r>
        <w:rPr>
          <w:rFonts w:asciiTheme="majorBidi" w:hAnsiTheme="majorBidi" w:cstheme="majorBidi"/>
          <w:sz w:val="24"/>
          <w:szCs w:val="24"/>
        </w:rPr>
        <w:t>)</w:t>
      </w:r>
      <w:r w:rsidRPr="00112FC3">
        <w:rPr>
          <w:rFonts w:asciiTheme="majorBidi" w:hAnsiTheme="majorBidi" w:cstheme="majorBidi"/>
          <w:sz w:val="24"/>
          <w:szCs w:val="24"/>
        </w:rPr>
        <w:t xml:space="preserve"> is the most common blood test used to screen for overall health status and for detection of a wide range of </w:t>
      </w:r>
      <w:r w:rsidR="009C2281">
        <w:rPr>
          <w:rFonts w:asciiTheme="majorBidi" w:hAnsiTheme="majorBidi" w:cstheme="majorBidi"/>
          <w:sz w:val="24"/>
          <w:szCs w:val="24"/>
          <w:lang w:val="en-US"/>
        </w:rPr>
        <w:t xml:space="preserve">blood </w:t>
      </w:r>
      <w:r w:rsidRPr="00112FC3">
        <w:rPr>
          <w:rFonts w:asciiTheme="majorBidi" w:hAnsiTheme="majorBidi" w:cstheme="majorBidi"/>
          <w:sz w:val="24"/>
          <w:szCs w:val="24"/>
        </w:rPr>
        <w:t>disorders</w:t>
      </w:r>
      <w:r>
        <w:rPr>
          <w:rFonts w:asciiTheme="majorBidi" w:hAnsiTheme="majorBidi" w:cstheme="majorBidi"/>
          <w:bCs/>
          <w:color w:val="000000"/>
          <w:sz w:val="24"/>
          <w:szCs w:val="24"/>
        </w:rPr>
        <w:t>. A white blood cell (</w:t>
      </w:r>
      <w:r w:rsidRPr="00112FC3">
        <w:rPr>
          <w:rFonts w:asciiTheme="majorBidi" w:hAnsiTheme="majorBidi" w:cstheme="majorBidi"/>
          <w:sz w:val="24"/>
          <w:szCs w:val="24"/>
        </w:rPr>
        <w:t>WBC</w:t>
      </w:r>
      <w:r>
        <w:rPr>
          <w:rFonts w:asciiTheme="majorBidi" w:hAnsiTheme="majorBidi" w:cstheme="majorBidi"/>
          <w:sz w:val="24"/>
          <w:szCs w:val="24"/>
        </w:rPr>
        <w:t>)</w:t>
      </w:r>
      <w:r w:rsidRPr="00112FC3">
        <w:rPr>
          <w:rFonts w:asciiTheme="majorBidi" w:hAnsiTheme="majorBidi" w:cstheme="majorBidi"/>
          <w:sz w:val="24"/>
          <w:szCs w:val="24"/>
        </w:rPr>
        <w:t xml:space="preserve"> 5-part differential count </w:t>
      </w:r>
      <w:r>
        <w:rPr>
          <w:rFonts w:asciiTheme="majorBidi" w:hAnsiTheme="majorBidi" w:cstheme="majorBidi"/>
          <w:sz w:val="24"/>
          <w:szCs w:val="24"/>
        </w:rPr>
        <w:t xml:space="preserve">provided with the CBC allows for </w:t>
      </w:r>
      <w:r>
        <w:rPr>
          <w:rFonts w:asciiTheme="majorBidi" w:hAnsiTheme="majorBidi" w:cstheme="majorBidi"/>
          <w:bCs/>
          <w:color w:val="000000"/>
          <w:sz w:val="24"/>
          <w:szCs w:val="24"/>
        </w:rPr>
        <w:t xml:space="preserve">optimum </w:t>
      </w:r>
      <w:r>
        <w:rPr>
          <w:rFonts w:asciiTheme="majorBidi" w:hAnsiTheme="majorBidi" w:cstheme="majorBidi"/>
          <w:sz w:val="24"/>
          <w:szCs w:val="24"/>
        </w:rPr>
        <w:t>s</w:t>
      </w:r>
      <w:r w:rsidRPr="00112FC3">
        <w:rPr>
          <w:rFonts w:asciiTheme="majorBidi" w:hAnsiTheme="majorBidi" w:cstheme="majorBidi"/>
          <w:sz w:val="24"/>
          <w:szCs w:val="24"/>
        </w:rPr>
        <w:t>tandard of care</w:t>
      </w:r>
      <w:r>
        <w:rPr>
          <w:rFonts w:asciiTheme="majorBidi" w:hAnsiTheme="majorBidi" w:cstheme="majorBidi"/>
          <w:sz w:val="24"/>
          <w:szCs w:val="24"/>
        </w:rPr>
        <w:t>.</w:t>
      </w:r>
      <w:r w:rsidRPr="00112FC3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In spite of momentous improvement in performance of hematology analyzers they remain relatively complex and are therefore mostly confined to central laboratories. </w:t>
      </w:r>
      <w:r w:rsidR="00D83426">
        <w:rPr>
          <w:rFonts w:asciiTheme="majorBidi" w:hAnsiTheme="majorBidi" w:cstheme="majorBidi"/>
          <w:sz w:val="24"/>
          <w:szCs w:val="24"/>
          <w:lang w:val="en-US"/>
        </w:rPr>
        <w:t xml:space="preserve">Moreover, modern analyzers are limited in their ability to differentiate between sub-types of cells, immature blood cells and may be affected by various interferences due to the underlying measurement method. Consequently around 15% of samples are flagged for further review thus requiring manual </w:t>
      </w:r>
      <w:r w:rsidR="0040717A">
        <w:rPr>
          <w:rFonts w:asciiTheme="majorBidi" w:hAnsiTheme="majorBidi" w:cstheme="majorBidi"/>
          <w:sz w:val="24"/>
          <w:szCs w:val="24"/>
          <w:lang w:val="en-US"/>
        </w:rPr>
        <w:t xml:space="preserve">time-consuming </w:t>
      </w:r>
      <w:r w:rsidR="00D83426">
        <w:rPr>
          <w:rFonts w:asciiTheme="majorBidi" w:hAnsiTheme="majorBidi" w:cstheme="majorBidi"/>
          <w:sz w:val="24"/>
          <w:szCs w:val="24"/>
          <w:lang w:val="en-US"/>
        </w:rPr>
        <w:t xml:space="preserve">microscopic inspection. Recent advancements in </w:t>
      </w:r>
      <w:r w:rsidR="0040717A">
        <w:rPr>
          <w:rFonts w:asciiTheme="majorBidi" w:hAnsiTheme="majorBidi" w:cstheme="majorBidi"/>
          <w:sz w:val="24"/>
          <w:szCs w:val="24"/>
          <w:lang w:val="en-US"/>
        </w:rPr>
        <w:t xml:space="preserve">microfluidics, </w:t>
      </w:r>
      <w:r w:rsidR="00D83426">
        <w:rPr>
          <w:rFonts w:asciiTheme="majorBidi" w:hAnsiTheme="majorBidi" w:cstheme="majorBidi"/>
          <w:sz w:val="24"/>
          <w:szCs w:val="24"/>
          <w:lang w:val="en-US"/>
        </w:rPr>
        <w:t xml:space="preserve">machine vision </w:t>
      </w:r>
      <w:r w:rsidR="0040717A">
        <w:rPr>
          <w:rFonts w:asciiTheme="majorBidi" w:hAnsiTheme="majorBidi" w:cstheme="majorBidi"/>
          <w:sz w:val="24"/>
          <w:szCs w:val="24"/>
          <w:lang w:val="en-US"/>
        </w:rPr>
        <w:t xml:space="preserve">and AI </w:t>
      </w:r>
      <w:r w:rsidR="00D83426">
        <w:rPr>
          <w:rFonts w:asciiTheme="majorBidi" w:hAnsiTheme="majorBidi" w:cstheme="majorBidi"/>
          <w:sz w:val="24"/>
          <w:szCs w:val="24"/>
          <w:lang w:val="en-US"/>
        </w:rPr>
        <w:t xml:space="preserve">allow for </w:t>
      </w:r>
      <w:r w:rsidR="0040717A">
        <w:rPr>
          <w:rFonts w:asciiTheme="majorBidi" w:hAnsiTheme="majorBidi" w:cstheme="majorBidi"/>
          <w:sz w:val="24"/>
          <w:szCs w:val="24"/>
          <w:lang w:val="en-US"/>
        </w:rPr>
        <w:t>accurate enumeration of cells based on their morphology as they continuously flow in what may be referred to as “imaging flow cytometry”.</w:t>
      </w:r>
      <w:r w:rsidR="00A66C5E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A66C5E">
        <w:rPr>
          <w:rFonts w:asciiTheme="majorBidi" w:hAnsiTheme="majorBidi" w:cstheme="majorBidi"/>
          <w:sz w:val="24"/>
          <w:szCs w:val="24"/>
          <w:lang w:val="en-US"/>
        </w:rPr>
        <w:t>PixCell’s</w:t>
      </w:r>
      <w:proofErr w:type="spellEnd"/>
      <w:r w:rsidR="00A66C5E">
        <w:rPr>
          <w:rFonts w:asciiTheme="majorBidi" w:hAnsiTheme="majorBidi" w:cstheme="majorBidi"/>
          <w:sz w:val="24"/>
          <w:szCs w:val="24"/>
          <w:lang w:val="en-US"/>
        </w:rPr>
        <w:t xml:space="preserve"> HemoScreen is the first 5-part diff CBC that is FDA cleared for Point</w:t>
      </w:r>
      <w:r w:rsidR="003D6DE8">
        <w:rPr>
          <w:rFonts w:asciiTheme="majorBidi" w:hAnsiTheme="majorBidi" w:cstheme="majorBidi"/>
          <w:sz w:val="24"/>
          <w:szCs w:val="24"/>
          <w:lang w:val="en-US"/>
        </w:rPr>
        <w:t>-</w:t>
      </w:r>
      <w:r w:rsidR="00A66C5E">
        <w:rPr>
          <w:rFonts w:asciiTheme="majorBidi" w:hAnsiTheme="majorBidi" w:cstheme="majorBidi"/>
          <w:sz w:val="24"/>
          <w:szCs w:val="24"/>
          <w:lang w:val="en-US"/>
        </w:rPr>
        <w:t>Of</w:t>
      </w:r>
      <w:r w:rsidR="003D6DE8">
        <w:rPr>
          <w:rFonts w:asciiTheme="majorBidi" w:hAnsiTheme="majorBidi" w:cstheme="majorBidi"/>
          <w:sz w:val="24"/>
          <w:szCs w:val="24"/>
          <w:lang w:val="en-US"/>
        </w:rPr>
        <w:t>-</w:t>
      </w:r>
      <w:r w:rsidR="00A66C5E">
        <w:rPr>
          <w:rFonts w:asciiTheme="majorBidi" w:hAnsiTheme="majorBidi" w:cstheme="majorBidi"/>
          <w:sz w:val="24"/>
          <w:szCs w:val="24"/>
          <w:lang w:val="en-US"/>
        </w:rPr>
        <w:t>Care</w:t>
      </w:r>
      <w:r w:rsidR="003D6DE8">
        <w:rPr>
          <w:rFonts w:asciiTheme="majorBidi" w:hAnsiTheme="majorBidi" w:cstheme="majorBidi"/>
          <w:sz w:val="24"/>
          <w:szCs w:val="24"/>
          <w:lang w:val="en-US"/>
        </w:rPr>
        <w:t>-</w:t>
      </w:r>
      <w:r w:rsidR="00980176">
        <w:rPr>
          <w:rFonts w:asciiTheme="majorBidi" w:hAnsiTheme="majorBidi" w:cstheme="majorBidi"/>
          <w:sz w:val="24"/>
          <w:szCs w:val="24"/>
          <w:lang w:val="en-US"/>
        </w:rPr>
        <w:t>Testing</w:t>
      </w:r>
      <w:r w:rsidR="00A66C5E">
        <w:rPr>
          <w:rFonts w:asciiTheme="majorBidi" w:hAnsiTheme="majorBidi" w:cstheme="majorBidi"/>
          <w:sz w:val="24"/>
          <w:szCs w:val="24"/>
          <w:lang w:val="en-US"/>
        </w:rPr>
        <w:t xml:space="preserve">, it </w:t>
      </w:r>
      <w:r w:rsidR="00980176">
        <w:rPr>
          <w:rFonts w:asciiTheme="majorBidi" w:hAnsiTheme="majorBidi" w:cstheme="majorBidi"/>
          <w:sz w:val="24"/>
          <w:szCs w:val="24"/>
          <w:lang w:val="en-US"/>
        </w:rPr>
        <w:t>combines flow and imaging</w:t>
      </w:r>
      <w:r w:rsidR="009C2281">
        <w:rPr>
          <w:rFonts w:asciiTheme="majorBidi" w:hAnsiTheme="majorBidi" w:cstheme="majorBidi"/>
          <w:sz w:val="24"/>
          <w:szCs w:val="24"/>
          <w:lang w:val="en-US"/>
        </w:rPr>
        <w:t>-</w:t>
      </w:r>
      <w:r w:rsidR="00980176">
        <w:rPr>
          <w:rFonts w:asciiTheme="majorBidi" w:hAnsiTheme="majorBidi" w:cstheme="majorBidi"/>
          <w:sz w:val="24"/>
          <w:szCs w:val="24"/>
          <w:lang w:val="en-US"/>
        </w:rPr>
        <w:t>based analysis in a compact easy-to-use instrument. The HemoScreen may shorten the turnaround time (TAT)</w:t>
      </w:r>
      <w:r w:rsidR="003A701A">
        <w:rPr>
          <w:rFonts w:asciiTheme="majorBidi" w:hAnsiTheme="majorBidi" w:cstheme="majorBidi"/>
          <w:sz w:val="24"/>
          <w:szCs w:val="24"/>
          <w:lang w:val="en-US"/>
        </w:rPr>
        <w:t xml:space="preserve"> significantly and improve workflow efficiency in settings like the ER, ICU and oncology clinics/transfusion centers.</w:t>
      </w:r>
      <w:r w:rsidR="003D6DE8">
        <w:rPr>
          <w:rFonts w:asciiTheme="majorBidi" w:hAnsiTheme="majorBidi" w:cstheme="majorBidi"/>
          <w:sz w:val="24"/>
          <w:szCs w:val="24"/>
          <w:lang w:val="en-US"/>
        </w:rPr>
        <w:t xml:space="preserve"> Moreover, the technology facilitates enumeration of abnormal cells specifically </w:t>
      </w:r>
      <w:proofErr w:type="spellStart"/>
      <w:r w:rsidR="003D6DE8">
        <w:rPr>
          <w:rFonts w:asciiTheme="majorBidi" w:hAnsiTheme="majorBidi" w:cstheme="majorBidi"/>
          <w:sz w:val="24"/>
          <w:szCs w:val="24"/>
          <w:lang w:val="en-US"/>
        </w:rPr>
        <w:t>nRBC</w:t>
      </w:r>
      <w:proofErr w:type="spellEnd"/>
      <w:r w:rsidR="003D6DE8">
        <w:rPr>
          <w:rFonts w:asciiTheme="majorBidi" w:hAnsiTheme="majorBidi" w:cstheme="majorBidi"/>
          <w:sz w:val="24"/>
          <w:szCs w:val="24"/>
          <w:lang w:val="en-US"/>
        </w:rPr>
        <w:t xml:space="preserve">, Immature Granulocytes (IG) and blasts that may be instrumental in early diagnosis of blood cancers and may also reduce the number of </w:t>
      </w:r>
      <w:r w:rsidR="00D65672">
        <w:rPr>
          <w:rFonts w:asciiTheme="majorBidi" w:hAnsiTheme="majorBidi" w:cstheme="majorBidi"/>
          <w:sz w:val="24"/>
          <w:szCs w:val="24"/>
          <w:lang w:val="en-US"/>
        </w:rPr>
        <w:t>blood smears ordered.</w:t>
      </w:r>
      <w:r w:rsidR="003D6DE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p w14:paraId="082B23C9" w14:textId="3A1CB2CA" w:rsidR="003A701A" w:rsidRDefault="003A701A" w:rsidP="00D83426">
      <w:pPr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We </w:t>
      </w:r>
      <w:r w:rsidR="003D6DE8">
        <w:rPr>
          <w:rFonts w:asciiTheme="majorBidi" w:hAnsiTheme="majorBidi" w:cstheme="majorBidi"/>
          <w:sz w:val="24"/>
          <w:szCs w:val="24"/>
          <w:lang w:val="en-US"/>
        </w:rPr>
        <w:t>present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performance validation of the HemoScreen </w:t>
      </w:r>
      <w:r w:rsidR="009C2281">
        <w:rPr>
          <w:rFonts w:asciiTheme="majorBidi" w:hAnsiTheme="majorBidi" w:cstheme="majorBidi"/>
          <w:sz w:val="24"/>
          <w:szCs w:val="24"/>
          <w:lang w:val="en-US"/>
        </w:rPr>
        <w:t>conducted</w:t>
      </w:r>
      <w:r w:rsidR="003D6DE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in different settings such as ICU, oncology and primary care </w:t>
      </w:r>
      <w:proofErr w:type="gramStart"/>
      <w:r w:rsidR="009C2281">
        <w:rPr>
          <w:rFonts w:asciiTheme="majorBidi" w:hAnsiTheme="majorBidi" w:cstheme="majorBidi"/>
          <w:sz w:val="24"/>
          <w:szCs w:val="24"/>
          <w:lang w:val="en-US"/>
        </w:rPr>
        <w:t xml:space="preserve">at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3D6DE8">
        <w:rPr>
          <w:rFonts w:asciiTheme="majorBidi" w:hAnsiTheme="majorBidi" w:cstheme="majorBidi"/>
          <w:sz w:val="24"/>
          <w:szCs w:val="24"/>
          <w:lang w:val="en-US"/>
        </w:rPr>
        <w:t>medical</w:t>
      </w:r>
      <w:proofErr w:type="gramEnd"/>
      <w:r w:rsidR="003D6DE8">
        <w:rPr>
          <w:rFonts w:asciiTheme="majorBidi" w:hAnsiTheme="majorBidi" w:cstheme="majorBidi"/>
          <w:sz w:val="24"/>
          <w:szCs w:val="24"/>
          <w:lang w:val="en-US"/>
        </w:rPr>
        <w:t xml:space="preserve"> centers in </w:t>
      </w:r>
      <w:r w:rsidR="00D65672">
        <w:rPr>
          <w:rFonts w:asciiTheme="majorBidi" w:hAnsiTheme="majorBidi" w:cstheme="majorBidi"/>
          <w:sz w:val="24"/>
          <w:szCs w:val="24"/>
          <w:lang w:val="en-US"/>
        </w:rPr>
        <w:t xml:space="preserve">Uppsala Univ. </w:t>
      </w:r>
      <w:r w:rsidR="003D6DE8">
        <w:rPr>
          <w:rFonts w:asciiTheme="majorBidi" w:hAnsiTheme="majorBidi" w:cstheme="majorBidi"/>
          <w:sz w:val="24"/>
          <w:szCs w:val="24"/>
          <w:lang w:val="en-US"/>
        </w:rPr>
        <w:t xml:space="preserve">Sweden, </w:t>
      </w:r>
      <w:r w:rsidR="00D65672">
        <w:rPr>
          <w:rFonts w:asciiTheme="majorBidi" w:hAnsiTheme="majorBidi" w:cstheme="majorBidi"/>
          <w:sz w:val="24"/>
          <w:szCs w:val="24"/>
          <w:lang w:val="en-US"/>
        </w:rPr>
        <w:t xml:space="preserve">North Zealand Hospital </w:t>
      </w:r>
      <w:r w:rsidR="003D6DE8">
        <w:rPr>
          <w:rFonts w:asciiTheme="majorBidi" w:hAnsiTheme="majorBidi" w:cstheme="majorBidi"/>
          <w:sz w:val="24"/>
          <w:szCs w:val="24"/>
          <w:lang w:val="en-US"/>
        </w:rPr>
        <w:t>Denmark and NSW</w:t>
      </w:r>
      <w:r w:rsidR="00D65672">
        <w:rPr>
          <w:rFonts w:asciiTheme="majorBidi" w:hAnsiTheme="majorBidi" w:cstheme="majorBidi"/>
          <w:sz w:val="24"/>
          <w:szCs w:val="24"/>
          <w:lang w:val="en-US"/>
        </w:rPr>
        <w:t xml:space="preserve"> Health Pathology</w:t>
      </w:r>
      <w:r w:rsidR="003D6DE8">
        <w:rPr>
          <w:rFonts w:asciiTheme="majorBidi" w:hAnsiTheme="majorBidi" w:cstheme="majorBidi"/>
          <w:sz w:val="24"/>
          <w:szCs w:val="24"/>
          <w:lang w:val="en-US"/>
        </w:rPr>
        <w:t xml:space="preserve"> Australia. As well as recent results </w:t>
      </w:r>
      <w:r w:rsidR="00D65672">
        <w:rPr>
          <w:rFonts w:asciiTheme="majorBidi" w:hAnsiTheme="majorBidi" w:cstheme="majorBidi"/>
          <w:sz w:val="24"/>
          <w:szCs w:val="24"/>
          <w:lang w:val="en-US"/>
        </w:rPr>
        <w:t xml:space="preserve">obtained in an analytical study comparing </w:t>
      </w:r>
      <w:proofErr w:type="spellStart"/>
      <w:r w:rsidR="00D65672">
        <w:rPr>
          <w:rFonts w:asciiTheme="majorBidi" w:hAnsiTheme="majorBidi" w:cstheme="majorBidi"/>
          <w:sz w:val="24"/>
          <w:szCs w:val="24"/>
          <w:lang w:val="en-US"/>
        </w:rPr>
        <w:t>nRBC</w:t>
      </w:r>
      <w:proofErr w:type="spellEnd"/>
      <w:r w:rsidR="00D65672">
        <w:rPr>
          <w:rFonts w:asciiTheme="majorBidi" w:hAnsiTheme="majorBidi" w:cstheme="majorBidi"/>
          <w:sz w:val="24"/>
          <w:szCs w:val="24"/>
          <w:lang w:val="en-US"/>
        </w:rPr>
        <w:t xml:space="preserve"> count and IG to reference lab.</w:t>
      </w:r>
    </w:p>
    <w:p w14:paraId="7A03C4B9" w14:textId="653F821D" w:rsidR="00C21A0E" w:rsidRDefault="00C21A0E" w:rsidP="00D83426">
      <w:pPr>
        <w:rPr>
          <w:lang w:val="en-US"/>
        </w:rPr>
      </w:pPr>
    </w:p>
    <w:p w14:paraId="476E63C3" w14:textId="77777777" w:rsidR="001739BF" w:rsidRDefault="00C21A0E" w:rsidP="001739BF">
      <w:pPr>
        <w:pStyle w:val="Bibliography"/>
        <w:rPr>
          <w:u w:val="single"/>
          <w:lang w:val="en-US"/>
        </w:rPr>
      </w:pPr>
      <w:r w:rsidRPr="00C21A0E">
        <w:rPr>
          <w:u w:val="single"/>
          <w:lang w:val="en-US"/>
        </w:rPr>
        <w:t>Recent publications</w:t>
      </w:r>
    </w:p>
    <w:p w14:paraId="7499F4A1" w14:textId="640C5038" w:rsidR="001739BF" w:rsidRPr="001739BF" w:rsidRDefault="001739BF" w:rsidP="001739BF">
      <w:pPr>
        <w:pStyle w:val="Bibliography"/>
        <w:rPr>
          <w:rFonts w:ascii="Calibri" w:hAnsi="Calibri" w:cs="Calibri"/>
        </w:rPr>
      </w:pPr>
      <w:r>
        <w:rPr>
          <w:u w:val="single"/>
          <w:lang w:val="en-US"/>
        </w:rPr>
        <w:fldChar w:fldCharType="begin"/>
      </w:r>
      <w:r>
        <w:rPr>
          <w:u w:val="single"/>
          <w:lang w:val="en-US"/>
        </w:rPr>
        <w:instrText xml:space="preserve"> ADDIN ZOTERO_BIBL {"uncited":[],"omitted":[],"custom":[]} CSL_BIBLIOGRAPHY </w:instrText>
      </w:r>
      <w:r>
        <w:rPr>
          <w:u w:val="single"/>
          <w:lang w:val="en-US"/>
        </w:rPr>
        <w:fldChar w:fldCharType="separate"/>
      </w:r>
      <w:r w:rsidRPr="001739BF">
        <w:rPr>
          <w:rFonts w:ascii="Calibri" w:hAnsi="Calibri" w:cs="Calibri"/>
        </w:rPr>
        <w:t>1.</w:t>
      </w:r>
      <w:r w:rsidRPr="001739BF">
        <w:rPr>
          <w:rFonts w:ascii="Calibri" w:hAnsi="Calibri" w:cs="Calibri"/>
        </w:rPr>
        <w:tab/>
        <w:t xml:space="preserve">Larsson, A., Carlsson, L., Karlsson, B. &amp; </w:t>
      </w:r>
      <w:proofErr w:type="spellStart"/>
      <w:r w:rsidRPr="001739BF">
        <w:rPr>
          <w:rFonts w:ascii="Calibri" w:hAnsi="Calibri" w:cs="Calibri"/>
        </w:rPr>
        <w:t>Lipcsey</w:t>
      </w:r>
      <w:proofErr w:type="spellEnd"/>
      <w:r w:rsidRPr="001739BF">
        <w:rPr>
          <w:rFonts w:ascii="Calibri" w:hAnsi="Calibri" w:cs="Calibri"/>
        </w:rPr>
        <w:t xml:space="preserve">, M. Rapid testing of red blood cell parameters in primary care patients using </w:t>
      </w:r>
      <w:proofErr w:type="spellStart"/>
      <w:r w:rsidRPr="001739BF">
        <w:rPr>
          <w:rFonts w:ascii="Calibri" w:hAnsi="Calibri" w:cs="Calibri"/>
        </w:rPr>
        <w:t>HemoScreen</w:t>
      </w:r>
      <w:r w:rsidRPr="001739BF">
        <w:rPr>
          <w:rFonts w:ascii="Calibri" w:hAnsi="Calibri" w:cs="Calibri"/>
          <w:vertAlign w:val="superscript"/>
        </w:rPr>
        <w:t>TM</w:t>
      </w:r>
      <w:proofErr w:type="spellEnd"/>
      <w:r w:rsidRPr="001739BF">
        <w:rPr>
          <w:rFonts w:ascii="Calibri" w:hAnsi="Calibri" w:cs="Calibri"/>
        </w:rPr>
        <w:t xml:space="preserve"> point of care instrument. </w:t>
      </w:r>
      <w:r w:rsidRPr="001739BF">
        <w:rPr>
          <w:rFonts w:ascii="Calibri" w:hAnsi="Calibri" w:cs="Calibri"/>
          <w:i/>
          <w:iCs/>
        </w:rPr>
        <w:t>BMC Family Practice</w:t>
      </w:r>
      <w:r w:rsidRPr="001739BF">
        <w:rPr>
          <w:rFonts w:ascii="Calibri" w:hAnsi="Calibri" w:cs="Calibri"/>
        </w:rPr>
        <w:t xml:space="preserve"> </w:t>
      </w:r>
      <w:r w:rsidRPr="001739BF">
        <w:rPr>
          <w:rFonts w:ascii="Calibri" w:hAnsi="Calibri" w:cs="Calibri"/>
          <w:b/>
          <w:bCs/>
        </w:rPr>
        <w:t>20</w:t>
      </w:r>
      <w:r w:rsidRPr="001739BF">
        <w:rPr>
          <w:rFonts w:ascii="Calibri" w:hAnsi="Calibri" w:cs="Calibri"/>
        </w:rPr>
        <w:t>, 77 (2019).</w:t>
      </w:r>
    </w:p>
    <w:p w14:paraId="514AC78A" w14:textId="77777777" w:rsidR="001739BF" w:rsidRPr="001739BF" w:rsidRDefault="001739BF" w:rsidP="001739BF">
      <w:pPr>
        <w:pStyle w:val="Bibliography"/>
        <w:rPr>
          <w:rFonts w:ascii="Calibri" w:hAnsi="Calibri" w:cs="Calibri"/>
        </w:rPr>
      </w:pPr>
      <w:r w:rsidRPr="001739BF">
        <w:rPr>
          <w:rFonts w:ascii="Calibri" w:hAnsi="Calibri" w:cs="Calibri"/>
        </w:rPr>
        <w:t>2.</w:t>
      </w:r>
      <w:r w:rsidRPr="001739BF">
        <w:rPr>
          <w:rFonts w:ascii="Calibri" w:hAnsi="Calibri" w:cs="Calibri"/>
        </w:rPr>
        <w:tab/>
        <w:t xml:space="preserve">Ben-Yosef, Y. </w:t>
      </w:r>
      <w:r w:rsidRPr="001739BF">
        <w:rPr>
          <w:rFonts w:ascii="Calibri" w:hAnsi="Calibri" w:cs="Calibri"/>
          <w:i/>
          <w:iCs/>
        </w:rPr>
        <w:t>et al.</w:t>
      </w:r>
      <w:r w:rsidRPr="001739BF">
        <w:rPr>
          <w:rFonts w:ascii="Calibri" w:hAnsi="Calibri" w:cs="Calibri"/>
        </w:rPr>
        <w:t xml:space="preserve"> The HemoScreen, a novel haematology analyser for the point of care. </w:t>
      </w:r>
      <w:r w:rsidRPr="001739BF">
        <w:rPr>
          <w:rFonts w:ascii="Calibri" w:hAnsi="Calibri" w:cs="Calibri"/>
          <w:i/>
          <w:iCs/>
        </w:rPr>
        <w:t xml:space="preserve">J. Clin. </w:t>
      </w:r>
      <w:proofErr w:type="spellStart"/>
      <w:r w:rsidRPr="001739BF">
        <w:rPr>
          <w:rFonts w:ascii="Calibri" w:hAnsi="Calibri" w:cs="Calibri"/>
          <w:i/>
          <w:iCs/>
        </w:rPr>
        <w:t>Pathol</w:t>
      </w:r>
      <w:proofErr w:type="spellEnd"/>
      <w:r w:rsidRPr="001739BF">
        <w:rPr>
          <w:rFonts w:ascii="Calibri" w:hAnsi="Calibri" w:cs="Calibri"/>
          <w:i/>
          <w:iCs/>
        </w:rPr>
        <w:t>.</w:t>
      </w:r>
      <w:r w:rsidRPr="001739BF">
        <w:rPr>
          <w:rFonts w:ascii="Calibri" w:hAnsi="Calibri" w:cs="Calibri"/>
        </w:rPr>
        <w:t xml:space="preserve"> </w:t>
      </w:r>
      <w:r w:rsidRPr="001739BF">
        <w:rPr>
          <w:rFonts w:ascii="Calibri" w:hAnsi="Calibri" w:cs="Calibri"/>
          <w:b/>
          <w:bCs/>
        </w:rPr>
        <w:t>69</w:t>
      </w:r>
      <w:r w:rsidRPr="001739BF">
        <w:rPr>
          <w:rFonts w:ascii="Calibri" w:hAnsi="Calibri" w:cs="Calibri"/>
        </w:rPr>
        <w:t>, 720–725 (2016).</w:t>
      </w:r>
    </w:p>
    <w:p w14:paraId="3CD5C722" w14:textId="77777777" w:rsidR="001739BF" w:rsidRPr="001739BF" w:rsidRDefault="001739BF" w:rsidP="001739BF">
      <w:pPr>
        <w:pStyle w:val="Bibliography"/>
        <w:rPr>
          <w:rFonts w:ascii="Calibri" w:hAnsi="Calibri" w:cs="Calibri"/>
        </w:rPr>
      </w:pPr>
      <w:r w:rsidRPr="001739BF">
        <w:rPr>
          <w:rFonts w:ascii="Calibri" w:hAnsi="Calibri" w:cs="Calibri"/>
        </w:rPr>
        <w:t>3.</w:t>
      </w:r>
      <w:r w:rsidRPr="001739BF">
        <w:rPr>
          <w:rFonts w:ascii="Calibri" w:hAnsi="Calibri" w:cs="Calibri"/>
        </w:rPr>
        <w:tab/>
        <w:t xml:space="preserve">Larsson, A., </w:t>
      </w:r>
      <w:proofErr w:type="spellStart"/>
      <w:r w:rsidRPr="001739BF">
        <w:rPr>
          <w:rFonts w:ascii="Calibri" w:hAnsi="Calibri" w:cs="Calibri"/>
        </w:rPr>
        <w:t>Smekal</w:t>
      </w:r>
      <w:proofErr w:type="spellEnd"/>
      <w:r w:rsidRPr="001739BF">
        <w:rPr>
          <w:rFonts w:ascii="Calibri" w:hAnsi="Calibri" w:cs="Calibri"/>
        </w:rPr>
        <w:t xml:space="preserve">, D. &amp; </w:t>
      </w:r>
      <w:proofErr w:type="spellStart"/>
      <w:r w:rsidRPr="001739BF">
        <w:rPr>
          <w:rFonts w:ascii="Calibri" w:hAnsi="Calibri" w:cs="Calibri"/>
        </w:rPr>
        <w:t>Lipcsey</w:t>
      </w:r>
      <w:proofErr w:type="spellEnd"/>
      <w:r w:rsidRPr="001739BF">
        <w:rPr>
          <w:rFonts w:ascii="Calibri" w:hAnsi="Calibri" w:cs="Calibri"/>
        </w:rPr>
        <w:t xml:space="preserve">, M. Rapid testing of red blood cells, white blood cells and platelets in intensive care patients using the </w:t>
      </w:r>
      <w:proofErr w:type="spellStart"/>
      <w:r w:rsidRPr="001739BF">
        <w:rPr>
          <w:rFonts w:ascii="Calibri" w:hAnsi="Calibri" w:cs="Calibri"/>
        </w:rPr>
        <w:t>HemoScreen</w:t>
      </w:r>
      <w:r w:rsidRPr="001739BF">
        <w:rPr>
          <w:rFonts w:ascii="Calibri" w:hAnsi="Calibri" w:cs="Calibri"/>
          <w:vertAlign w:val="superscript"/>
        </w:rPr>
        <w:t>TM</w:t>
      </w:r>
      <w:proofErr w:type="spellEnd"/>
      <w:r w:rsidRPr="001739BF">
        <w:rPr>
          <w:rFonts w:ascii="Calibri" w:hAnsi="Calibri" w:cs="Calibri"/>
        </w:rPr>
        <w:t xml:space="preserve"> point-of-care </w:t>
      </w:r>
      <w:proofErr w:type="spellStart"/>
      <w:r w:rsidRPr="001739BF">
        <w:rPr>
          <w:rFonts w:ascii="Calibri" w:hAnsi="Calibri" w:cs="Calibri"/>
        </w:rPr>
        <w:t>analyzer</w:t>
      </w:r>
      <w:proofErr w:type="spellEnd"/>
      <w:r w:rsidRPr="001739BF">
        <w:rPr>
          <w:rFonts w:ascii="Calibri" w:hAnsi="Calibri" w:cs="Calibri"/>
        </w:rPr>
        <w:t xml:space="preserve">. </w:t>
      </w:r>
      <w:r w:rsidRPr="001739BF">
        <w:rPr>
          <w:rFonts w:ascii="Calibri" w:hAnsi="Calibri" w:cs="Calibri"/>
          <w:i/>
          <w:iCs/>
        </w:rPr>
        <w:t>Platelets</w:t>
      </w:r>
      <w:r w:rsidRPr="001739BF">
        <w:rPr>
          <w:rFonts w:ascii="Calibri" w:hAnsi="Calibri" w:cs="Calibri"/>
        </w:rPr>
        <w:t xml:space="preserve"> </w:t>
      </w:r>
      <w:r w:rsidRPr="001739BF">
        <w:rPr>
          <w:rFonts w:ascii="Calibri" w:hAnsi="Calibri" w:cs="Calibri"/>
          <w:b/>
          <w:bCs/>
        </w:rPr>
        <w:t>30</w:t>
      </w:r>
      <w:r w:rsidRPr="001739BF">
        <w:rPr>
          <w:rFonts w:ascii="Calibri" w:hAnsi="Calibri" w:cs="Calibri"/>
        </w:rPr>
        <w:t>, 1013–1016 (2019).</w:t>
      </w:r>
    </w:p>
    <w:p w14:paraId="5A232F06" w14:textId="70F60D7F" w:rsidR="0024621D" w:rsidRDefault="001739BF" w:rsidP="001739BF">
      <w:pPr>
        <w:rPr>
          <w:u w:val="single"/>
          <w:lang w:val="en-US"/>
        </w:rPr>
      </w:pPr>
      <w:r>
        <w:rPr>
          <w:u w:val="single"/>
          <w:lang w:val="en-US"/>
        </w:rPr>
        <w:lastRenderedPageBreak/>
        <w:fldChar w:fldCharType="end"/>
      </w:r>
    </w:p>
    <w:sectPr w:rsidR="002462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B1B"/>
    <w:rsid w:val="001739BF"/>
    <w:rsid w:val="0024621D"/>
    <w:rsid w:val="003A701A"/>
    <w:rsid w:val="003D6DE8"/>
    <w:rsid w:val="003E7B4E"/>
    <w:rsid w:val="0040717A"/>
    <w:rsid w:val="00980176"/>
    <w:rsid w:val="009C2281"/>
    <w:rsid w:val="00A66C5E"/>
    <w:rsid w:val="00B91D96"/>
    <w:rsid w:val="00BE786D"/>
    <w:rsid w:val="00C21A0E"/>
    <w:rsid w:val="00CB6B1B"/>
    <w:rsid w:val="00D65672"/>
    <w:rsid w:val="00D83426"/>
    <w:rsid w:val="00FB5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B86D3"/>
  <w15:chartTrackingRefBased/>
  <w15:docId w15:val="{558752CE-B0BA-4339-AA2D-8C9052811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L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1A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6C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6C5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21A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24621D"/>
    <w:pPr>
      <w:tabs>
        <w:tab w:val="left" w:pos="264"/>
      </w:tabs>
      <w:spacing w:after="0" w:line="480" w:lineRule="auto"/>
      <w:ind w:left="264" w:hanging="26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Avishay Bransky</dc:creator>
  <cp:keywords/>
  <dc:description/>
  <cp:lastModifiedBy>Avishay Bransky</cp:lastModifiedBy>
  <cp:revision>4</cp:revision>
  <dcterms:created xsi:type="dcterms:W3CDTF">2020-04-28T08:16:00Z</dcterms:created>
  <dcterms:modified xsi:type="dcterms:W3CDTF">2020-04-28T09:18:00Z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zotero-version="5.0.85"&gt;&lt;session id="enAtsoyM"/&gt;&lt;style id="http://www.zotero.org/styles/nature" hasBibliography="1" bibliographyStyleHasBeenSet="1"/&gt;&lt;prefs&gt;&lt;pref name="fieldType" value="Field"/&gt;&lt;/prefs&gt;&lt;/data&gt;</vt:lpwstr>
  </property>
</Properties>
</file>