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CB8" w:rsidRDefault="00083EEF" w:rsidP="00083E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>Use of additional parameters to improve the SCM of non-viral STIs</w:t>
      </w:r>
    </w:p>
    <w:p w:rsidR="00083EEF" w:rsidRDefault="00083EEF" w:rsidP="00083EEF">
      <w:pPr>
        <w:rPr>
          <w:rFonts w:ascii="Times New Roman" w:hAnsi="Times New Roman" w:cs="Times New Roman"/>
          <w:b/>
          <w:sz w:val="24"/>
          <w:szCs w:val="24"/>
        </w:rPr>
      </w:pPr>
    </w:p>
    <w:p w:rsidR="00083EEF" w:rsidRDefault="00083EEF" w:rsidP="00083E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 xml:space="preserve">Background </w:t>
      </w:r>
      <w:r w:rsidRPr="00083EEF">
        <w:rPr>
          <w:rFonts w:ascii="Times New Roman" w:hAnsi="Times New Roman" w:cs="Times New Roman"/>
          <w:sz w:val="24"/>
          <w:szCs w:val="24"/>
        </w:rPr>
        <w:t xml:space="preserve">Syndromic approach is a simple and affordable strategy for management of sexually transmitted infections (STI) in countries with low resource settings.  However, due to lack of specificity and accuracy, risk of overuse/misuse of antibiotics is very high.  In  this  study,  we  propose  a  more specific  and  accurate  algorithm  compared  to  the  current  algorithm  used  for  syndromic  case management (SCM) of three common sexually transmitted pathogens and compared its precision with laboratory-based tests. </w:t>
      </w:r>
    </w:p>
    <w:p w:rsidR="00083EEF" w:rsidRDefault="00083EEF" w:rsidP="00083E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 xml:space="preserve">Objective </w:t>
      </w:r>
      <w:r w:rsidRPr="00083EEF">
        <w:rPr>
          <w:rFonts w:ascii="Times New Roman" w:hAnsi="Times New Roman" w:cs="Times New Roman"/>
          <w:sz w:val="24"/>
          <w:szCs w:val="24"/>
        </w:rPr>
        <w:t>This  study  aimed  to  report  a  comparative  account  of  accuracy  of  existing  syndromic  case management  guidelines followed  in  mainstream  hospitals, for  taking  care  of  patients  with  non-viral STIs, with respect to an approach involving  an alternative algorithm formulated in our lab followed by PCR testing.</w:t>
      </w:r>
      <w:r w:rsidRPr="00083E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3EEF" w:rsidRDefault="00083EEF" w:rsidP="00083E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 xml:space="preserve">Study Design </w:t>
      </w:r>
      <w:r w:rsidRPr="00083EEF">
        <w:rPr>
          <w:rFonts w:ascii="Times New Roman" w:hAnsi="Times New Roman" w:cs="Times New Roman"/>
          <w:sz w:val="24"/>
          <w:szCs w:val="24"/>
        </w:rPr>
        <w:t xml:space="preserve">This is  an observational study that compares  the  data  between two  categories based  on diagnostics accuracy and  treatment; Category  I- Symptoms  of  infection  were  scored  based  on existing NACO-NACP guidelines and patients were treated, before testing by PCR.  Category   II, Patients   were recruited   based   on NACO-NACP   guidelines   with   additional alternative SCM parameters.  All samples were tested by PCR for </w:t>
      </w:r>
      <w:r>
        <w:rPr>
          <w:rFonts w:ascii="Times New Roman" w:hAnsi="Times New Roman" w:cs="Times New Roman"/>
          <w:i/>
          <w:sz w:val="24"/>
          <w:szCs w:val="24"/>
        </w:rPr>
        <w:t xml:space="preserve">C. </w:t>
      </w:r>
      <w:r w:rsidRPr="00083EEF">
        <w:rPr>
          <w:rFonts w:ascii="Times New Roman" w:hAnsi="Times New Roman" w:cs="Times New Roman"/>
          <w:i/>
          <w:sz w:val="24"/>
          <w:szCs w:val="24"/>
        </w:rPr>
        <w:t xml:space="preserve">trachomatis </w:t>
      </w:r>
      <w:r w:rsidRPr="00083EEF">
        <w:rPr>
          <w:rFonts w:ascii="Times New Roman" w:hAnsi="Times New Roman" w:cs="Times New Roman"/>
          <w:sz w:val="24"/>
          <w:szCs w:val="24"/>
        </w:rPr>
        <w:t xml:space="preserve">(CT), </w:t>
      </w:r>
      <w:r w:rsidRPr="00083EEF">
        <w:rPr>
          <w:rFonts w:ascii="Times New Roman" w:hAnsi="Times New Roman" w:cs="Times New Roman"/>
          <w:i/>
          <w:sz w:val="24"/>
          <w:szCs w:val="24"/>
        </w:rPr>
        <w:t xml:space="preserve">N. </w:t>
      </w:r>
      <w:proofErr w:type="spellStart"/>
      <w:r w:rsidRPr="00083EEF">
        <w:rPr>
          <w:rFonts w:ascii="Times New Roman" w:hAnsi="Times New Roman" w:cs="Times New Roman"/>
          <w:i/>
          <w:sz w:val="24"/>
          <w:szCs w:val="24"/>
        </w:rPr>
        <w:t>gonorrhoeae</w:t>
      </w:r>
      <w:proofErr w:type="spellEnd"/>
      <w:r w:rsidRPr="00083EEF">
        <w:rPr>
          <w:rFonts w:ascii="Times New Roman" w:hAnsi="Times New Roman" w:cs="Times New Roman"/>
          <w:sz w:val="24"/>
          <w:szCs w:val="24"/>
        </w:rPr>
        <w:t xml:space="preserve"> (NG) and </w:t>
      </w:r>
      <w:r w:rsidRPr="00083EEF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083EEF">
        <w:rPr>
          <w:rFonts w:ascii="Times New Roman" w:hAnsi="Times New Roman" w:cs="Times New Roman"/>
          <w:i/>
          <w:sz w:val="24"/>
          <w:szCs w:val="24"/>
        </w:rPr>
        <w:t>vaginalis</w:t>
      </w:r>
      <w:proofErr w:type="spellEnd"/>
      <w:r w:rsidRPr="00083EEF">
        <w:rPr>
          <w:rFonts w:ascii="Times New Roman" w:hAnsi="Times New Roman" w:cs="Times New Roman"/>
          <w:sz w:val="24"/>
          <w:szCs w:val="24"/>
        </w:rPr>
        <w:t xml:space="preserve"> (TV) and clinically correlated before giving the treatment.</w:t>
      </w:r>
      <w:r w:rsidRPr="00083E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3EEF" w:rsidRPr="00083EEF" w:rsidRDefault="00083EEF" w:rsidP="00083EEF">
      <w:pPr>
        <w:jc w:val="both"/>
        <w:rPr>
          <w:rFonts w:ascii="Times New Roman" w:hAnsi="Times New Roman" w:cs="Times New Roman"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 xml:space="preserve">Results </w:t>
      </w:r>
      <w:r w:rsidRPr="00083EEF">
        <w:rPr>
          <w:rFonts w:ascii="Times New Roman" w:hAnsi="Times New Roman" w:cs="Times New Roman"/>
          <w:sz w:val="24"/>
          <w:szCs w:val="24"/>
        </w:rPr>
        <w:t xml:space="preserve">For category  I,  amongst  646 symptomatically  infected  women,  only  46(7.82%)  tested  positive by PCR assay for at least one of the pathogens while the rest of 600(92.87%) were negative for infection  by  any  of  these  three  pathogens.  The total estimated percentage of the overuse and misuse of antibiotics is 92.87% and 8.69 % respectively. Correct and complete treatment based on laboratory outcome compared to NACP was 42/46(91.30%).  The  estimated  overuse  of Azithromycin  and  </w:t>
      </w:r>
      <w:proofErr w:type="spellStart"/>
      <w:r w:rsidRPr="00083EEF">
        <w:rPr>
          <w:rFonts w:ascii="Times New Roman" w:hAnsi="Times New Roman" w:cs="Times New Roman"/>
          <w:sz w:val="24"/>
          <w:szCs w:val="24"/>
        </w:rPr>
        <w:t>Cefixime</w:t>
      </w:r>
      <w:proofErr w:type="spellEnd"/>
      <w:r w:rsidRPr="00083EEF">
        <w:rPr>
          <w:rFonts w:ascii="Times New Roman" w:hAnsi="Times New Roman" w:cs="Times New Roman"/>
          <w:sz w:val="24"/>
          <w:szCs w:val="24"/>
        </w:rPr>
        <w:t xml:space="preserve">  (Grey)  was  29.69%,  combination  of Doxycycline, </w:t>
      </w:r>
      <w:proofErr w:type="spellStart"/>
      <w:r w:rsidRPr="00083EEF">
        <w:rPr>
          <w:rFonts w:ascii="Times New Roman" w:hAnsi="Times New Roman" w:cs="Times New Roman"/>
          <w:sz w:val="24"/>
          <w:szCs w:val="24"/>
        </w:rPr>
        <w:t>Cefixime</w:t>
      </w:r>
      <w:proofErr w:type="spellEnd"/>
      <w:r w:rsidRPr="00083EEF">
        <w:rPr>
          <w:rFonts w:ascii="Times New Roman" w:hAnsi="Times New Roman" w:cs="Times New Roman"/>
          <w:sz w:val="24"/>
          <w:szCs w:val="24"/>
        </w:rPr>
        <w:t xml:space="preserve">  and Metronidazole (Yellow) was 29.87% and combination of Doxycycline, </w:t>
      </w:r>
      <w:proofErr w:type="spellStart"/>
      <w:r w:rsidRPr="00083EEF">
        <w:rPr>
          <w:rFonts w:ascii="Times New Roman" w:hAnsi="Times New Roman" w:cs="Times New Roman"/>
          <w:sz w:val="24"/>
          <w:szCs w:val="24"/>
        </w:rPr>
        <w:t>Cefixime</w:t>
      </w:r>
      <w:proofErr w:type="spellEnd"/>
      <w:r w:rsidRPr="00083EEF">
        <w:rPr>
          <w:rFonts w:ascii="Times New Roman" w:hAnsi="Times New Roman" w:cs="Times New Roman"/>
          <w:sz w:val="24"/>
          <w:szCs w:val="24"/>
        </w:rPr>
        <w:t xml:space="preserve">, Metronidazole and Azithromycin (Grey with yellow) was 11.45%.  For  category  II,  wherein  patients  were  treated  using  alternative  syndromic  approach  and  PCR diagnostics, 243/319 (76.15%) subjects were infected with either of the pathogens (NG/TV/CT), whereas 76/319 (23.82%) women were negative for any of these three pathogens.  Amongst 243 infected patients, 99/243 (40.74%) were infected with a single pathogen while 144/243 (59.20%) were co-infected.  Out  of 144 co-infected  patients,  the  percentage  of  CT+NG  infection  was highest, 51.38%,  followed  by  co-infection  with  all  three  pathogens  (30%).  Co-infection with CT, TV was 9.72% and NG, TV was also 9.03%. The estimated overuse of antibiotics was found to be 23.82% only. </w:t>
      </w:r>
    </w:p>
    <w:p w:rsidR="00083EEF" w:rsidRDefault="00083EEF" w:rsidP="00083E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 xml:space="preserve">Conclusions  </w:t>
      </w:r>
      <w:r w:rsidRPr="00083EEF">
        <w:rPr>
          <w:rFonts w:ascii="Times New Roman" w:hAnsi="Times New Roman" w:cs="Times New Roman"/>
          <w:sz w:val="24"/>
          <w:szCs w:val="24"/>
        </w:rPr>
        <w:t>The  proposed  alternative  strategies  of  SCM  can  reduce  the  percentage  of  misuse  /  overuse  of antibiotics   from   92.87%   to 23.82%.   Moreover,   SCM   alone   is   insufficient   for   disease management.</w:t>
      </w:r>
      <w:r w:rsidRPr="00083E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3EEF" w:rsidRPr="00083EEF" w:rsidRDefault="00083EEF" w:rsidP="00083EEF">
      <w:pPr>
        <w:jc w:val="both"/>
        <w:rPr>
          <w:rFonts w:ascii="Times New Roman" w:hAnsi="Times New Roman" w:cs="Times New Roman"/>
          <w:sz w:val="24"/>
          <w:szCs w:val="24"/>
        </w:rPr>
      </w:pPr>
      <w:r w:rsidRPr="00083EEF">
        <w:rPr>
          <w:rFonts w:ascii="Times New Roman" w:hAnsi="Times New Roman" w:cs="Times New Roman"/>
          <w:b/>
          <w:sz w:val="24"/>
          <w:szCs w:val="24"/>
        </w:rPr>
        <w:t xml:space="preserve">Keywords   </w:t>
      </w:r>
      <w:r w:rsidRPr="00083EEF">
        <w:rPr>
          <w:rFonts w:ascii="Times New Roman" w:hAnsi="Times New Roman" w:cs="Times New Roman"/>
          <w:sz w:val="24"/>
          <w:szCs w:val="24"/>
        </w:rPr>
        <w:t>Alternative approach Antibiotics treatment, non-viral S</w:t>
      </w:r>
      <w:bookmarkStart w:id="0" w:name="_GoBack"/>
      <w:bookmarkEnd w:id="0"/>
      <w:r w:rsidRPr="00083EEF">
        <w:rPr>
          <w:rFonts w:ascii="Times New Roman" w:hAnsi="Times New Roman" w:cs="Times New Roman"/>
          <w:sz w:val="24"/>
          <w:szCs w:val="24"/>
        </w:rPr>
        <w:t xml:space="preserve">TI, PCR, SCM.                                   </w:t>
      </w:r>
    </w:p>
    <w:sectPr w:rsidR="00083EEF" w:rsidRPr="00083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BCF"/>
    <w:rsid w:val="00083EEF"/>
    <w:rsid w:val="00162941"/>
    <w:rsid w:val="00A81BCF"/>
    <w:rsid w:val="00F9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B08B08-1C34-4D2A-90A2-39E93C3A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2021-12-21T14:59:00Z</dcterms:created>
  <dcterms:modified xsi:type="dcterms:W3CDTF">2021-12-21T15:06:00Z</dcterms:modified>
</cp:coreProperties>
</file>