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cs="Times New Roman"/>
          <w:b/>
          <w:b/>
          <w:sz w:val="24"/>
          <w:szCs w:val="24"/>
          <w:lang w:val="en-US"/>
        </w:rPr>
      </w:pPr>
      <w:r>
        <w:rPr>
          <w:rFonts w:cs="Times New Roman" w:ascii="Times New Roman" w:hAnsi="Times New Roman"/>
          <w:b/>
          <w:sz w:val="24"/>
          <w:szCs w:val="24"/>
          <w:lang w:val="en-US"/>
        </w:rPr>
        <w:t xml:space="preserve">Calcium and osteoporosis in very elderly patients with coronary artery disease </w:t>
      </w:r>
    </w:p>
    <w:p>
      <w:pPr>
        <w:pStyle w:val="NormalWeb"/>
        <w:shd w:val="clear" w:color="auto" w:fill="FFFFFF"/>
        <w:spacing w:beforeAutospacing="0" w:before="120" w:afterAutospacing="0" w:after="0"/>
        <w:jc w:val="center"/>
        <w:rPr>
          <w:b/>
          <w:b/>
          <w:i/>
          <w:i/>
        </w:rPr>
      </w:pPr>
      <w:r>
        <w:rPr>
          <w:b/>
          <w:i/>
        </w:rPr>
        <w:t>Topolyanskaya S.V.</w:t>
      </w:r>
      <w:r>
        <w:rPr>
          <w:b/>
          <w:i/>
          <w:vertAlign w:val="superscript"/>
        </w:rPr>
        <w:t>1,2</w:t>
      </w:r>
      <w:r>
        <w:rPr>
          <w:rStyle w:val="Style13"/>
          <w:b/>
          <w:i/>
          <w:color w:val="auto"/>
          <w:u w:val="none"/>
        </w:rPr>
        <w:t>, Eliseeva T.A.</w:t>
      </w:r>
      <w:r>
        <w:rPr>
          <w:b/>
          <w:i/>
          <w:vertAlign w:val="superscript"/>
        </w:rPr>
        <w:t>2</w:t>
      </w:r>
      <w:r>
        <w:rPr>
          <w:rStyle w:val="Style13"/>
          <w:b/>
          <w:i/>
          <w:color w:val="auto"/>
          <w:u w:val="none"/>
        </w:rPr>
        <w:t>, Turna O.I.</w:t>
      </w:r>
      <w:r>
        <w:rPr>
          <w:b/>
          <w:i/>
          <w:vertAlign w:val="superscript"/>
        </w:rPr>
        <w:t>2</w:t>
      </w:r>
      <w:r>
        <w:rPr>
          <w:rStyle w:val="Style13"/>
          <w:b/>
          <w:i/>
          <w:color w:val="auto"/>
          <w:u w:val="none"/>
        </w:rPr>
        <w:t>, Vakulenko O.N.</w:t>
      </w:r>
      <w:r>
        <w:rPr>
          <w:b/>
          <w:i/>
          <w:vertAlign w:val="superscript"/>
        </w:rPr>
        <w:t>2</w:t>
      </w:r>
      <w:r>
        <w:rPr>
          <w:rStyle w:val="Style13"/>
          <w:b/>
          <w:i/>
          <w:color w:val="auto"/>
          <w:u w:val="none"/>
        </w:rPr>
        <w:t>, Romanova M.A.</w:t>
      </w:r>
      <w:r>
        <w:rPr>
          <w:b/>
          <w:i/>
          <w:vertAlign w:val="superscript"/>
        </w:rPr>
        <w:t>2</w:t>
      </w:r>
      <w:r>
        <w:rPr>
          <w:rStyle w:val="Style13"/>
          <w:b/>
          <w:i/>
          <w:color w:val="auto"/>
          <w:u w:val="none"/>
        </w:rPr>
        <w:t>, Gordeeva O.V.</w:t>
      </w:r>
      <w:r>
        <w:rPr>
          <w:b/>
          <w:i/>
          <w:vertAlign w:val="superscript"/>
        </w:rPr>
        <w:t>2</w:t>
      </w:r>
      <w:r>
        <w:rPr>
          <w:rStyle w:val="Style13"/>
          <w:b/>
          <w:i/>
          <w:color w:val="auto"/>
          <w:u w:val="none"/>
        </w:rPr>
        <w:t>, Zvyagina I.N.</w:t>
      </w:r>
      <w:r>
        <w:rPr>
          <w:rStyle w:val="Style13"/>
          <w:b/>
          <w:i/>
          <w:color w:val="auto"/>
          <w:u w:val="none"/>
          <w:vertAlign w:val="superscript"/>
        </w:rPr>
        <w:t>2</w:t>
      </w:r>
      <w:r>
        <w:rPr>
          <w:rStyle w:val="Style13"/>
          <w:b/>
          <w:i/>
          <w:color w:val="auto"/>
          <w:u w:val="none"/>
        </w:rPr>
        <w:t>, Koshurnikov D.S.</w:t>
      </w:r>
      <w:r>
        <w:rPr>
          <w:b/>
          <w:i/>
          <w:vertAlign w:val="superscript"/>
        </w:rPr>
        <w:t>2</w:t>
      </w:r>
      <w:r>
        <w:rPr>
          <w:rStyle w:val="Style13"/>
          <w:b/>
          <w:i/>
          <w:color w:val="auto"/>
          <w:u w:val="none"/>
        </w:rPr>
        <w:t>, Lytkina K.A.</w:t>
      </w:r>
      <w:r>
        <w:rPr>
          <w:b/>
          <w:i/>
          <w:vertAlign w:val="superscript"/>
        </w:rPr>
        <w:t>2</w:t>
      </w:r>
      <w:r>
        <w:rPr>
          <w:rStyle w:val="Style13"/>
          <w:b/>
          <w:i/>
          <w:color w:val="auto"/>
          <w:u w:val="none"/>
        </w:rPr>
        <w:t>, Melkonyan G.G.</w:t>
      </w:r>
      <w:r>
        <w:rPr>
          <w:b/>
          <w:i/>
          <w:vertAlign w:val="superscript"/>
        </w:rPr>
        <w:t>2</w:t>
      </w:r>
    </w:p>
    <w:p>
      <w:pPr>
        <w:pStyle w:val="Normal"/>
        <w:spacing w:lineRule="auto" w:line="240" w:before="120" w:after="0"/>
        <w:jc w:val="both"/>
        <w:rPr>
          <w:rStyle w:val="Strong"/>
          <w:rFonts w:ascii="Times New Roman" w:hAnsi="Times New Roman" w:cs="Times New Roman"/>
          <w:b w:val="false"/>
          <w:b w:val="false"/>
          <w:bCs w:val="false"/>
          <w:i/>
          <w:i/>
          <w:sz w:val="24"/>
          <w:szCs w:val="24"/>
          <w:lang w:val="en-US"/>
        </w:rPr>
      </w:pPr>
      <w:r>
        <w:rPr>
          <w:rStyle w:val="Strong"/>
          <w:rFonts w:cs="Times New Roman" w:ascii="Times New Roman" w:hAnsi="Times New Roman"/>
          <w:b w:val="false"/>
          <w:i/>
          <w:sz w:val="24"/>
          <w:szCs w:val="24"/>
          <w:vertAlign w:val="superscript"/>
          <w:lang w:val="en-US"/>
        </w:rPr>
        <w:t>1</w:t>
      </w:r>
      <w:r>
        <w:rPr>
          <w:rStyle w:val="Strong"/>
          <w:rFonts w:cs="Times New Roman" w:ascii="Times New Roman" w:hAnsi="Times New Roman"/>
          <w:b w:val="false"/>
          <w:i/>
          <w:sz w:val="24"/>
          <w:szCs w:val="24"/>
          <w:lang w:val="en-US"/>
        </w:rPr>
        <w:t xml:space="preserve"> I.M. Sechenov First Moscow State Medical University (Sechenov University), RF Health Ministry, Hospital Therapy Department No.2; 8-2, Trubetskaya str., Moscow, 119991, Russia</w:t>
      </w:r>
    </w:p>
    <w:p>
      <w:pPr>
        <w:pStyle w:val="Normal"/>
        <w:spacing w:lineRule="auto" w:line="240" w:before="0" w:after="0"/>
        <w:jc w:val="both"/>
        <w:rPr>
          <w:rFonts w:ascii="Times New Roman" w:hAnsi="Times New Roman" w:cs="Times New Roman"/>
          <w:i/>
          <w:i/>
          <w:sz w:val="24"/>
          <w:szCs w:val="24"/>
          <w:lang w:val="en-US"/>
        </w:rPr>
      </w:pPr>
      <w:r>
        <w:rPr>
          <w:rFonts w:cs="Times New Roman" w:ascii="Times New Roman" w:hAnsi="Times New Roman"/>
          <w:i/>
          <w:sz w:val="24"/>
          <w:szCs w:val="24"/>
          <w:vertAlign w:val="superscript"/>
          <w:lang w:val="en-US"/>
        </w:rPr>
        <w:t>2</w:t>
      </w:r>
      <w:r>
        <w:rPr>
          <w:rFonts w:cs="Times New Roman" w:ascii="Times New Roman" w:hAnsi="Times New Roman"/>
          <w:i/>
          <w:sz w:val="24"/>
          <w:szCs w:val="24"/>
          <w:lang w:val="en-US"/>
        </w:rPr>
        <w:t xml:space="preserve"> War Veterans Hospital No.3; 4, Startovaya str., Moscow, 129336, Russia</w:t>
      </w:r>
    </w:p>
    <w:p>
      <w:pPr>
        <w:pStyle w:val="Normal"/>
        <w:spacing w:lineRule="auto" w:line="240" w:before="0" w:after="0"/>
        <w:jc w:val="both"/>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spacing w:lineRule="auto" w:line="240" w:before="120" w:after="0"/>
        <w:jc w:val="both"/>
        <w:rPr>
          <w:rFonts w:ascii="Times New Roman" w:hAnsi="Times New Roman"/>
          <w:color w:val="000000"/>
          <w:sz w:val="24"/>
          <w:szCs w:val="24"/>
        </w:rPr>
      </w:pPr>
      <w:r>
        <w:rPr>
          <w:rFonts w:eastAsia="Times New Roman" w:cs="Times New Roman" w:ascii="Times New Roman" w:hAnsi="Times New Roman"/>
          <w:b/>
          <w:i/>
          <w:color w:val="000000"/>
          <w:sz w:val="24"/>
          <w:szCs w:val="24"/>
          <w:lang w:val="en-US" w:eastAsia="ru-RU"/>
        </w:rPr>
        <w:t xml:space="preserve">Study aim </w:t>
      </w:r>
      <w:r>
        <w:rPr>
          <w:rFonts w:eastAsia="Times New Roman" w:cs="Times New Roman" w:ascii="Times New Roman" w:hAnsi="Times New Roman"/>
          <w:color w:val="000000"/>
          <w:sz w:val="24"/>
          <w:szCs w:val="24"/>
          <w:lang w:val="en-US" w:eastAsia="ru-RU"/>
        </w:rPr>
        <w:t xml:space="preserve">– to determine the </w:t>
      </w:r>
      <w:r>
        <w:rPr>
          <w:rFonts w:eastAsia="Times New Roman" w:cs="Times New Roman" w:ascii="Times New Roman" w:hAnsi="Times New Roman"/>
          <w:color w:val="000000"/>
          <w:sz w:val="24"/>
          <w:szCs w:val="24"/>
          <w:lang w:val="en-US" w:eastAsia="ru-RU"/>
        </w:rPr>
        <w:t>blood</w:t>
      </w:r>
      <w:r>
        <w:rPr>
          <w:rFonts w:eastAsia="Times New Roman" w:cs="Times New Roman" w:ascii="Times New Roman" w:hAnsi="Times New Roman"/>
          <w:color w:val="000000"/>
          <w:sz w:val="24"/>
          <w:szCs w:val="24"/>
          <w:lang w:val="en-US" w:eastAsia="ru-RU"/>
        </w:rPr>
        <w:t xml:space="preserve"> concentration of ionized calcium and daily excretion of calcium in the urine and to analyze the relationship between calcium and various clinical and laboratory parameters in elderly patients with coronary artery disease (CAD). </w:t>
      </w:r>
    </w:p>
    <w:p>
      <w:pPr>
        <w:pStyle w:val="Normal"/>
        <w:tabs>
          <w:tab w:val="clear" w:pos="708"/>
          <w:tab w:val="left" w:pos="5685" w:leader="none"/>
        </w:tabs>
        <w:spacing w:lineRule="auto" w:line="240" w:before="0" w:after="0"/>
        <w:jc w:val="both"/>
        <w:rPr>
          <w:rFonts w:ascii="Times New Roman" w:hAnsi="Times New Roman"/>
          <w:color w:val="000000"/>
          <w:sz w:val="24"/>
          <w:szCs w:val="24"/>
        </w:rPr>
      </w:pPr>
      <w:r>
        <w:rPr>
          <w:rFonts w:eastAsia="Times New Roman" w:cs="Times New Roman" w:ascii="Times New Roman" w:hAnsi="Times New Roman"/>
          <w:b/>
          <w:bCs/>
          <w:i/>
          <w:color w:val="000000"/>
          <w:sz w:val="24"/>
          <w:szCs w:val="24"/>
          <w:lang w:val="en-US" w:eastAsia="ru-RU"/>
        </w:rPr>
        <w:t>Materials and Methods</w:t>
      </w:r>
      <w:r>
        <w:rPr>
          <w:rFonts w:eastAsia="Times New Roman" w:cs="Times New Roman" w:ascii="Times New Roman" w:hAnsi="Times New Roman"/>
          <w:b/>
          <w:bCs/>
          <w:i/>
          <w:color w:val="000000"/>
          <w:sz w:val="24"/>
          <w:szCs w:val="24"/>
          <w:lang w:eastAsia="ru-RU"/>
        </w:rPr>
        <w:tab/>
      </w:r>
    </w:p>
    <w:p>
      <w:pPr>
        <w:pStyle w:val="Normal"/>
        <w:spacing w:lineRule="auto" w:line="240" w:before="0" w:after="0"/>
        <w:jc w:val="both"/>
        <w:rPr>
          <w:rFonts w:ascii="Times New Roman" w:hAnsi="Times New Roman"/>
          <w:color w:val="000000"/>
          <w:sz w:val="24"/>
          <w:szCs w:val="24"/>
        </w:rPr>
      </w:pPr>
      <w:r>
        <w:rPr>
          <w:rFonts w:eastAsia="Times New Roman" w:cs="Times New Roman" w:ascii="Times New Roman" w:hAnsi="Times New Roman"/>
          <w:color w:val="000000"/>
          <w:sz w:val="24"/>
          <w:szCs w:val="24"/>
          <w:lang w:val="en-US" w:eastAsia="ru-RU"/>
        </w:rPr>
        <w:t>This work was a cross-sectional study enrolled 1</w:t>
      </w:r>
      <w:r>
        <w:rPr>
          <w:rFonts w:eastAsia="Times New Roman" w:cs="Times New Roman" w:ascii="Times New Roman" w:hAnsi="Times New Roman"/>
          <w:b w:val="false"/>
          <w:i w:val="false"/>
          <w:caps w:val="false"/>
          <w:smallCaps w:val="false"/>
          <w:color w:val="000000"/>
          <w:spacing w:val="0"/>
          <w:sz w:val="24"/>
          <w:szCs w:val="24"/>
          <w:lang w:val="en-US" w:eastAsia="ru-RU"/>
        </w:rPr>
        <w:t>02 patients (84 women and 18 men) aged 70 to 97 years (mean age 83.0±5.9 years) hospitalized with CAD. Centenarians accounted for 14.7% of patients. The blood level of ionized calcium (N 1.16-1.32 mmol/l) and daily excretion of calcium in the urine (N 2.5-7.5 mmol/l) was determined. In addition, the concentration of 25-hydroxycalciferol (25(OH)D) was determined in all patients; the level of 25(OH)D&lt;10 ng/ml was regarded as a severe deficiency of vitamin D, 10-19 - deficiency, 20-29 - deficiency, ≥30 ng/ml – normal.</w:t>
      </w:r>
      <w:bookmarkStart w:id="0" w:name="tw-target-text"/>
      <w:bookmarkEnd w:id="0"/>
      <w:r>
        <w:rPr>
          <w:rFonts w:eastAsia="Times New Roman" w:cs="Times New Roman" w:ascii="Times New Roman" w:hAnsi="Times New Roman"/>
          <w:b w:val="false"/>
          <w:i w:val="false"/>
          <w:caps w:val="false"/>
          <w:smallCaps w:val="false"/>
          <w:color w:val="000000"/>
          <w:spacing w:val="0"/>
          <w:sz w:val="24"/>
          <w:szCs w:val="24"/>
          <w:lang w:val="en-US" w:eastAsia="ru-RU"/>
        </w:rPr>
        <w:t xml:space="preserve"> </w:t>
      </w:r>
      <w:r>
        <w:rPr>
          <w:rFonts w:eastAsia="Times New Roman" w:cs="Times New Roman" w:ascii="Times New Roman" w:hAnsi="Times New Roman"/>
          <w:b w:val="false"/>
          <w:i w:val="false"/>
          <w:caps w:val="false"/>
          <w:smallCaps w:val="false"/>
          <w:color w:val="000000"/>
          <w:spacing w:val="0"/>
          <w:sz w:val="24"/>
          <w:szCs w:val="24"/>
          <w:lang w:val="en-US" w:eastAsia="ru-RU"/>
        </w:rPr>
        <w:t>Along with this, the bone mineral density of the lumbar spine and proximal femur was analyzed using dual-energy x-ray absorptiometry.</w:t>
      </w:r>
    </w:p>
    <w:p>
      <w:pPr>
        <w:pStyle w:val="Normal"/>
        <w:spacing w:lineRule="auto" w:line="240" w:before="0" w:after="0"/>
        <w:jc w:val="both"/>
        <w:rPr>
          <w:rFonts w:ascii="Times New Roman" w:hAnsi="Times New Roman"/>
          <w:color w:val="000000"/>
          <w:sz w:val="24"/>
          <w:szCs w:val="24"/>
        </w:rPr>
      </w:pPr>
      <w:r>
        <w:rPr>
          <w:rFonts w:eastAsia="Times New Roman" w:cs="Times New Roman" w:ascii="Times New Roman" w:hAnsi="Times New Roman"/>
          <w:b/>
          <w:bCs/>
          <w:i/>
          <w:color w:val="000000"/>
          <w:sz w:val="24"/>
          <w:szCs w:val="24"/>
          <w:lang w:val="en-US" w:eastAsia="ru-RU"/>
        </w:rPr>
        <w:t>Results</w:t>
      </w:r>
    </w:p>
    <w:p>
      <w:pPr>
        <w:pStyle w:val="Style19"/>
        <w:spacing w:lineRule="auto" w:line="240" w:before="0" w:after="0"/>
        <w:jc w:val="both"/>
        <w:rPr/>
      </w:pPr>
      <w:bookmarkStart w:id="1" w:name="tw-target-text1"/>
      <w:bookmarkEnd w:id="1"/>
      <w:r>
        <w:rPr>
          <w:rStyle w:val="Y2iqfc"/>
          <w:rFonts w:cs="Times New Roman" w:ascii="Times New Roman" w:hAnsi="Times New Roman"/>
          <w:b w:val="false"/>
          <w:i w:val="false"/>
          <w:caps w:val="false"/>
          <w:smallCaps w:val="false"/>
          <w:color w:val="000000"/>
          <w:spacing w:val="0"/>
          <w:sz w:val="24"/>
          <w:szCs w:val="24"/>
          <w:lang w:val="en-US"/>
        </w:rPr>
        <w:t xml:space="preserve">The </w:t>
      </w:r>
      <w:r>
        <w:rPr>
          <w:rStyle w:val="Y2iqfc"/>
          <w:rFonts w:cs="Times New Roman" w:ascii="Times New Roman" w:hAnsi="Times New Roman"/>
          <w:b w:val="false"/>
          <w:i w:val="false"/>
          <w:caps w:val="false"/>
          <w:smallCaps w:val="false"/>
          <w:color w:val="000000"/>
          <w:spacing w:val="0"/>
          <w:sz w:val="24"/>
          <w:szCs w:val="24"/>
          <w:lang w:val="en-US"/>
        </w:rPr>
        <w:t>mean</w:t>
      </w:r>
      <w:r>
        <w:rPr>
          <w:rStyle w:val="Y2iqfc"/>
          <w:rFonts w:cs="Times New Roman" w:ascii="Times New Roman" w:hAnsi="Times New Roman"/>
          <w:b w:val="false"/>
          <w:i w:val="false"/>
          <w:caps w:val="false"/>
          <w:smallCaps w:val="false"/>
          <w:color w:val="000000"/>
          <w:spacing w:val="0"/>
          <w:sz w:val="24"/>
          <w:szCs w:val="24"/>
          <w:lang w:val="en-US"/>
        </w:rPr>
        <w:t xml:space="preserve"> daily excretion of calcium in the urine was 1.39</w:t>
      </w:r>
      <w:r>
        <w:rPr>
          <w:rStyle w:val="Y2iqfc"/>
          <w:rFonts w:cs="Times New Roman" w:ascii="Times New Roman" w:hAnsi="Times New Roman"/>
          <w:b w:val="false"/>
          <w:i w:val="false"/>
          <w:caps w:val="false"/>
          <w:smallCaps w:val="false"/>
          <w:color w:val="000000"/>
          <w:spacing w:val="0"/>
          <w:sz w:val="24"/>
          <w:szCs w:val="24"/>
          <w:u w:val="single"/>
          <w:lang w:val="en-US"/>
        </w:rPr>
        <w:t>+</w:t>
      </w:r>
      <w:r>
        <w:rPr>
          <w:rStyle w:val="Y2iqfc"/>
          <w:rFonts w:cs="Times New Roman" w:ascii="Times New Roman" w:hAnsi="Times New Roman"/>
          <w:b w:val="false"/>
          <w:i w:val="false"/>
          <w:caps w:val="false"/>
          <w:smallCaps w:val="false"/>
          <w:color w:val="000000"/>
          <w:spacing w:val="0"/>
          <w:sz w:val="24"/>
          <w:szCs w:val="24"/>
          <w:lang w:val="en-US"/>
        </w:rPr>
        <w:t xml:space="preserve">1.1 mmol/l </w:t>
      </w:r>
      <w:r>
        <w:rPr>
          <w:rStyle w:val="Y2iqfc"/>
          <w:rFonts w:cs="Times New Roman" w:ascii="Times New Roman" w:hAnsi="Times New Roman"/>
          <w:b w:val="false"/>
          <w:i w:val="false"/>
          <w:caps w:val="false"/>
          <w:smallCaps w:val="false"/>
          <w:color w:val="000000"/>
          <w:spacing w:val="0"/>
          <w:sz w:val="24"/>
          <w:szCs w:val="24"/>
          <w:lang w:val="en-US"/>
        </w:rPr>
        <w:t>(</w:t>
      </w:r>
      <w:r>
        <w:rPr>
          <w:rStyle w:val="Y2iqfc"/>
          <w:rFonts w:cs="Times New Roman" w:ascii="Times New Roman" w:hAnsi="Times New Roman"/>
          <w:b w:val="false"/>
          <w:i w:val="false"/>
          <w:caps w:val="false"/>
          <w:smallCaps w:val="false"/>
          <w:color w:val="000000"/>
          <w:spacing w:val="0"/>
          <w:sz w:val="24"/>
          <w:szCs w:val="24"/>
          <w:lang w:val="en-US"/>
        </w:rPr>
        <w:t>0.17 – 7.44 mmol/l</w:t>
      </w:r>
      <w:r>
        <w:rPr>
          <w:rStyle w:val="Y2iqfc"/>
          <w:rFonts w:cs="Times New Roman" w:ascii="Times New Roman" w:hAnsi="Times New Roman"/>
          <w:b w:val="false"/>
          <w:i w:val="false"/>
          <w:caps w:val="false"/>
          <w:smallCaps w:val="false"/>
          <w:color w:val="000000"/>
          <w:spacing w:val="0"/>
          <w:sz w:val="24"/>
          <w:szCs w:val="24"/>
          <w:lang w:val="en-US"/>
        </w:rPr>
        <w:t>)</w:t>
      </w:r>
      <w:r>
        <w:rPr>
          <w:rStyle w:val="Y2iqfc"/>
          <w:rFonts w:cs="Times New Roman" w:ascii="Times New Roman" w:hAnsi="Times New Roman"/>
          <w:b w:val="false"/>
          <w:i w:val="false"/>
          <w:caps w:val="false"/>
          <w:smallCaps w:val="false"/>
          <w:color w:val="000000"/>
          <w:spacing w:val="0"/>
          <w:sz w:val="24"/>
          <w:szCs w:val="24"/>
          <w:lang w:val="en-US"/>
        </w:rPr>
        <w:t xml:space="preserve">. Only </w:t>
      </w:r>
      <w:r>
        <w:rPr>
          <w:rStyle w:val="Y2iqfc"/>
          <w:rFonts w:cs="Times New Roman" w:ascii="Times New Roman" w:hAnsi="Times New Roman"/>
          <w:b w:val="false"/>
          <w:i w:val="false"/>
          <w:caps w:val="false"/>
          <w:smallCaps w:val="false"/>
          <w:color w:val="000000"/>
          <w:spacing w:val="0"/>
          <w:sz w:val="24"/>
          <w:szCs w:val="24"/>
          <w:lang w:val="en-US"/>
        </w:rPr>
        <w:t>1</w:t>
      </w:r>
      <w:r>
        <w:rPr>
          <w:rStyle w:val="Y2iqfc"/>
          <w:rFonts w:cs="Times New Roman" w:ascii="Times New Roman" w:hAnsi="Times New Roman"/>
          <w:b w:val="false"/>
          <w:i w:val="false"/>
          <w:caps w:val="false"/>
          <w:smallCaps w:val="false"/>
          <w:color w:val="000000"/>
          <w:spacing w:val="0"/>
          <w:sz w:val="24"/>
          <w:szCs w:val="24"/>
          <w:lang w:val="en-US"/>
        </w:rPr>
        <w:t xml:space="preserve">5.6% of patients </w:t>
      </w:r>
      <w:r>
        <w:rPr>
          <w:rStyle w:val="Y2iqfc"/>
          <w:rFonts w:cs="Times New Roman" w:ascii="Times New Roman" w:hAnsi="Times New Roman"/>
          <w:b w:val="false"/>
          <w:i w:val="false"/>
          <w:caps w:val="false"/>
          <w:smallCaps w:val="false"/>
          <w:color w:val="000000"/>
          <w:spacing w:val="0"/>
          <w:sz w:val="24"/>
          <w:szCs w:val="24"/>
          <w:lang w:val="en-US"/>
        </w:rPr>
        <w:t xml:space="preserve">had </w:t>
      </w:r>
      <w:r>
        <w:rPr>
          <w:rStyle w:val="Y2iqfc"/>
          <w:rFonts w:cs="Times New Roman" w:ascii="Times New Roman" w:hAnsi="Times New Roman"/>
          <w:b w:val="false"/>
          <w:i w:val="false"/>
          <w:caps w:val="false"/>
          <w:smallCaps w:val="false"/>
          <w:color w:val="000000"/>
          <w:spacing w:val="0"/>
          <w:sz w:val="24"/>
          <w:szCs w:val="24"/>
          <w:lang w:val="en-US"/>
        </w:rPr>
        <w:t xml:space="preserve">calcium excretion within the normal range, in 84.4% there was a low calcium content in daily urine. The </w:t>
      </w:r>
      <w:r>
        <w:rPr>
          <w:rStyle w:val="Y2iqfc"/>
          <w:rFonts w:cs="Times New Roman" w:ascii="Times New Roman" w:hAnsi="Times New Roman"/>
          <w:b w:val="false"/>
          <w:i w:val="false"/>
          <w:caps w:val="false"/>
          <w:smallCaps w:val="false"/>
          <w:color w:val="000000"/>
          <w:spacing w:val="0"/>
          <w:sz w:val="24"/>
          <w:szCs w:val="24"/>
          <w:lang w:val="en-US"/>
        </w:rPr>
        <w:t>mean</w:t>
      </w:r>
      <w:r>
        <w:rPr>
          <w:rStyle w:val="Y2iqfc"/>
          <w:rFonts w:cs="Times New Roman" w:ascii="Times New Roman" w:hAnsi="Times New Roman"/>
          <w:b w:val="false"/>
          <w:i w:val="false"/>
          <w:caps w:val="false"/>
          <w:smallCaps w:val="false"/>
          <w:color w:val="000000"/>
          <w:spacing w:val="0"/>
          <w:sz w:val="24"/>
          <w:szCs w:val="24"/>
          <w:lang w:val="en-US"/>
        </w:rPr>
        <w:t xml:space="preserve"> </w:t>
      </w:r>
      <w:r>
        <w:rPr>
          <w:rStyle w:val="Y2iqfc"/>
          <w:rFonts w:cs="Times New Roman" w:ascii="Times New Roman" w:hAnsi="Times New Roman"/>
          <w:b w:val="false"/>
          <w:i w:val="false"/>
          <w:caps w:val="false"/>
          <w:smallCaps w:val="false"/>
          <w:color w:val="000000"/>
          <w:spacing w:val="0"/>
          <w:sz w:val="24"/>
          <w:szCs w:val="24"/>
          <w:lang w:val="en-US"/>
        </w:rPr>
        <w:t xml:space="preserve">blood </w:t>
      </w:r>
      <w:r>
        <w:rPr>
          <w:rStyle w:val="Y2iqfc"/>
          <w:rFonts w:cs="Times New Roman" w:ascii="Times New Roman" w:hAnsi="Times New Roman"/>
          <w:b w:val="false"/>
          <w:i w:val="false"/>
          <w:caps w:val="false"/>
          <w:smallCaps w:val="false"/>
          <w:color w:val="000000"/>
          <w:spacing w:val="0"/>
          <w:sz w:val="24"/>
          <w:szCs w:val="24"/>
          <w:lang w:val="en-US"/>
        </w:rPr>
        <w:t xml:space="preserve">concentration of ionized calcium </w:t>
      </w:r>
      <w:r>
        <w:rPr>
          <w:rStyle w:val="Y2iqfc"/>
          <w:rFonts w:cs="Times New Roman" w:ascii="Times New Roman" w:hAnsi="Times New Roman"/>
          <w:b w:val="false"/>
          <w:i w:val="false"/>
          <w:caps w:val="false"/>
          <w:smallCaps w:val="false"/>
          <w:color w:val="000000"/>
          <w:spacing w:val="0"/>
          <w:sz w:val="24"/>
          <w:szCs w:val="24"/>
          <w:lang w:val="en-US"/>
        </w:rPr>
        <w:t>was</w:t>
      </w:r>
      <w:r>
        <w:rPr>
          <w:rStyle w:val="Y2iqfc"/>
          <w:rFonts w:cs="Times New Roman" w:ascii="Times New Roman" w:hAnsi="Times New Roman"/>
          <w:b w:val="false"/>
          <w:i w:val="false"/>
          <w:caps w:val="false"/>
          <w:smallCaps w:val="false"/>
          <w:color w:val="000000"/>
          <w:spacing w:val="0"/>
          <w:sz w:val="24"/>
          <w:szCs w:val="24"/>
          <w:lang w:val="en-US"/>
        </w:rPr>
        <w:t xml:space="preserve"> 1.26</w:t>
      </w:r>
      <w:r>
        <w:rPr>
          <w:rStyle w:val="Y2iqfc"/>
          <w:rFonts w:cs="Times New Roman" w:ascii="Times New Roman" w:hAnsi="Times New Roman"/>
          <w:b w:val="false"/>
          <w:i w:val="false"/>
          <w:caps w:val="false"/>
          <w:smallCaps w:val="false"/>
          <w:color w:val="000000"/>
          <w:spacing w:val="0"/>
          <w:sz w:val="24"/>
          <w:szCs w:val="24"/>
          <w:u w:val="single"/>
          <w:lang w:val="en-US"/>
        </w:rPr>
        <w:t>+</w:t>
      </w:r>
      <w:r>
        <w:rPr>
          <w:rStyle w:val="Y2iqfc"/>
          <w:rFonts w:cs="Times New Roman" w:ascii="Times New Roman" w:hAnsi="Times New Roman"/>
          <w:b w:val="false"/>
          <w:i w:val="false"/>
          <w:caps w:val="false"/>
          <w:smallCaps w:val="false"/>
          <w:color w:val="000000"/>
          <w:spacing w:val="0"/>
          <w:sz w:val="24"/>
          <w:szCs w:val="24"/>
          <w:lang w:val="en-US"/>
        </w:rPr>
        <w:t xml:space="preserve">0.05 mmol/l </w:t>
      </w:r>
      <w:r>
        <w:rPr>
          <w:rStyle w:val="Y2iqfc"/>
          <w:rFonts w:cs="Times New Roman" w:ascii="Times New Roman" w:hAnsi="Times New Roman"/>
          <w:b w:val="false"/>
          <w:i w:val="false"/>
          <w:caps w:val="false"/>
          <w:smallCaps w:val="false"/>
          <w:color w:val="000000"/>
          <w:spacing w:val="0"/>
          <w:sz w:val="24"/>
          <w:szCs w:val="24"/>
          <w:lang w:val="en-US"/>
        </w:rPr>
        <w:t>(</w:t>
      </w:r>
      <w:r>
        <w:rPr>
          <w:rStyle w:val="Y2iqfc"/>
          <w:rFonts w:cs="Times New Roman" w:ascii="Times New Roman" w:hAnsi="Times New Roman"/>
          <w:b w:val="false"/>
          <w:i w:val="false"/>
          <w:caps w:val="false"/>
          <w:smallCaps w:val="false"/>
          <w:color w:val="000000"/>
          <w:spacing w:val="0"/>
          <w:sz w:val="24"/>
          <w:szCs w:val="24"/>
          <w:lang w:val="en-US"/>
        </w:rPr>
        <w:t>1.16 – 1.53 mmol/l</w:t>
      </w:r>
      <w:r>
        <w:rPr>
          <w:rStyle w:val="Y2iqfc"/>
          <w:rFonts w:cs="Times New Roman" w:ascii="Times New Roman" w:hAnsi="Times New Roman"/>
          <w:b w:val="false"/>
          <w:i w:val="false"/>
          <w:caps w:val="false"/>
          <w:smallCaps w:val="false"/>
          <w:color w:val="000000"/>
          <w:spacing w:val="0"/>
          <w:sz w:val="24"/>
          <w:szCs w:val="24"/>
          <w:lang w:val="en-US"/>
        </w:rPr>
        <w:t>)</w:t>
      </w:r>
      <w:r>
        <w:rPr>
          <w:rStyle w:val="Y2iqfc"/>
          <w:rFonts w:cs="Times New Roman" w:ascii="Times New Roman" w:hAnsi="Times New Roman"/>
          <w:b w:val="false"/>
          <w:i w:val="false"/>
          <w:caps w:val="false"/>
          <w:smallCaps w:val="false"/>
          <w:color w:val="000000"/>
          <w:spacing w:val="0"/>
          <w:sz w:val="24"/>
          <w:szCs w:val="24"/>
          <w:lang w:val="en-US"/>
        </w:rPr>
        <w:t xml:space="preserve">. Hypocalcemia was not registered in any case, hypercalcemia was observed in 8.3% of patients. There were no gender differences in the </w:t>
      </w:r>
      <w:r>
        <w:rPr>
          <w:rStyle w:val="Y2iqfc"/>
          <w:rFonts w:cs="Times New Roman" w:ascii="Times New Roman" w:hAnsi="Times New Roman"/>
          <w:b w:val="false"/>
          <w:i w:val="false"/>
          <w:caps w:val="false"/>
          <w:smallCaps w:val="false"/>
          <w:color w:val="000000"/>
          <w:spacing w:val="0"/>
          <w:sz w:val="24"/>
          <w:szCs w:val="24"/>
          <w:lang w:val="en-US"/>
        </w:rPr>
        <w:t>blood level</w:t>
      </w:r>
      <w:r>
        <w:rPr>
          <w:rStyle w:val="Y2iqfc"/>
          <w:rFonts w:cs="Times New Roman" w:ascii="Times New Roman" w:hAnsi="Times New Roman"/>
          <w:b w:val="false"/>
          <w:i w:val="false"/>
          <w:caps w:val="false"/>
          <w:smallCaps w:val="false"/>
          <w:color w:val="000000"/>
          <w:spacing w:val="0"/>
          <w:sz w:val="24"/>
          <w:szCs w:val="24"/>
          <w:lang w:val="en-US"/>
        </w:rPr>
        <w:t xml:space="preserve"> of ionized calcium and in the daily excretion of calcium in the urine (p=0.83 and p=0.88, respectively). </w:t>
      </w:r>
      <w:r>
        <w:rPr>
          <w:rFonts w:ascii="Times New Roman" w:hAnsi="Times New Roman"/>
          <w:color w:val="000000"/>
          <w:sz w:val="24"/>
          <w:szCs w:val="24"/>
          <w:lang w:val="en-US"/>
        </w:rPr>
        <w:t>The mean</w:t>
      </w:r>
      <w:r>
        <w:rPr>
          <w:rFonts w:ascii="Times New Roman" w:hAnsi="Times New Roman"/>
          <w:b w:val="false"/>
          <w:i w:val="false"/>
          <w:caps w:val="false"/>
          <w:smallCaps w:val="false"/>
          <w:color w:val="000000"/>
          <w:spacing w:val="0"/>
          <w:sz w:val="24"/>
          <w:szCs w:val="24"/>
          <w:lang w:val="en-US"/>
        </w:rPr>
        <w:t xml:space="preserve"> T-score in the lumbar spine reached -1.0 SD, in the proximal left femur -1.6 SD, in the neck of the left femur -1.8 SD, in the proximal right femur -1.7 SD, in the neck of the right femur -2.0 SD. Osteoporosis in the proximal femur was registered in 32.9% of patients, osteopenia in 45.5%, normal BMD in 21.6% of cases.</w:t>
      </w:r>
      <w:bookmarkStart w:id="2" w:name="tw-target-text3"/>
      <w:bookmarkEnd w:id="2"/>
      <w:r>
        <w:rPr>
          <w:rFonts w:eastAsia="Times New Roman" w:cs="Times New Roman" w:ascii="Times New Roman" w:hAnsi="Times New Roman"/>
          <w:b w:val="false"/>
          <w:i w:val="false"/>
          <w:caps w:val="false"/>
          <w:smallCaps w:val="false"/>
          <w:color w:val="000000"/>
          <w:spacing w:val="0"/>
          <w:sz w:val="24"/>
          <w:szCs w:val="24"/>
          <w:lang w:val="en-US" w:eastAsia="ru-RU"/>
        </w:rPr>
        <w:t xml:space="preserve"> </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In the lumbar spine, osteoporosis was found in 18.1% of patients, osteopenia in 40.4%, and normal BMD in 41.5%. The </w:t>
      </w:r>
      <w:r>
        <w:rPr>
          <w:rFonts w:eastAsia="Times New Roman" w:cs="Times New Roman" w:ascii="Times New Roman" w:hAnsi="Times New Roman"/>
          <w:b w:val="false"/>
          <w:i w:val="false"/>
          <w:caps w:val="false"/>
          <w:smallCaps w:val="false"/>
          <w:color w:val="000000"/>
          <w:spacing w:val="0"/>
          <w:sz w:val="24"/>
          <w:szCs w:val="24"/>
          <w:lang w:val="en-US" w:eastAsia="ru-RU"/>
        </w:rPr>
        <w:t>mean blood concentration</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of vitamin D was 20.8±11.7 ng/ml (5.0 – 61.5 ng/ml). In patients with normal vitamin D </w:t>
      </w:r>
      <w:r>
        <w:rPr>
          <w:rFonts w:eastAsia="Times New Roman" w:cs="Times New Roman" w:ascii="Times New Roman" w:hAnsi="Times New Roman"/>
          <w:b w:val="false"/>
          <w:i w:val="false"/>
          <w:caps w:val="false"/>
          <w:smallCaps w:val="false"/>
          <w:color w:val="000000"/>
          <w:spacing w:val="0"/>
          <w:sz w:val="24"/>
          <w:szCs w:val="24"/>
          <w:lang w:val="en-US" w:eastAsia="ru-RU"/>
        </w:rPr>
        <w:t>level</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the </w:t>
      </w:r>
      <w:r>
        <w:rPr>
          <w:rFonts w:eastAsia="Times New Roman" w:cs="Times New Roman" w:ascii="Times New Roman" w:hAnsi="Times New Roman"/>
          <w:b w:val="false"/>
          <w:i w:val="false"/>
          <w:caps w:val="false"/>
          <w:smallCaps w:val="false"/>
          <w:color w:val="000000"/>
          <w:spacing w:val="0"/>
          <w:sz w:val="24"/>
          <w:szCs w:val="24"/>
          <w:lang w:val="en-US" w:eastAsia="ru-RU"/>
        </w:rPr>
        <w:t>mean</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urinary calcium excretion was 1.77</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1.2 mmol/l, with vitamin D deficiency – 1.1</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0.7 mmol/l (p=0.07). In patients with low calcium excretion in the urine, the </w:t>
      </w:r>
      <w:r>
        <w:rPr>
          <w:rFonts w:eastAsia="Times New Roman" w:cs="Times New Roman" w:ascii="Times New Roman" w:hAnsi="Times New Roman"/>
          <w:b w:val="false"/>
          <w:i w:val="false"/>
          <w:caps w:val="false"/>
          <w:smallCaps w:val="false"/>
          <w:color w:val="000000"/>
          <w:spacing w:val="0"/>
          <w:sz w:val="24"/>
          <w:szCs w:val="24"/>
          <w:lang w:val="en-US" w:eastAsia="ru-RU"/>
        </w:rPr>
        <w:t>mean blood concentration of</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vitamin D was 18.7</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7.7, with normal excretion - 28.5</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10.8 ng/ml (p=0.007). Direct correlations were established between urinary calcium excretion and blood vitamin D levels (r=0.31; p=0.004). Significant inverse relationships were registered between urinary calcium excretion and creatinine (r=-0.36; p&lt;0.0001). </w:t>
      </w:r>
      <w:r>
        <w:rPr>
          <w:rFonts w:eastAsia="Times New Roman" w:cs="Times New Roman" w:ascii="Times New Roman" w:hAnsi="Times New Roman"/>
          <w:color w:val="000000"/>
          <w:sz w:val="24"/>
          <w:szCs w:val="24"/>
          <w:lang w:val="en-US" w:eastAsia="ru-RU"/>
        </w:rPr>
        <w:t xml:space="preserve">In </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patients with elevated creatinine levels the </w:t>
      </w:r>
      <w:r>
        <w:rPr>
          <w:rFonts w:eastAsia="Times New Roman" w:cs="Times New Roman" w:ascii="Times New Roman" w:hAnsi="Times New Roman"/>
          <w:b w:val="false"/>
          <w:i w:val="false"/>
          <w:caps w:val="false"/>
          <w:smallCaps w:val="false"/>
          <w:color w:val="000000"/>
          <w:spacing w:val="0"/>
          <w:sz w:val="24"/>
          <w:szCs w:val="24"/>
          <w:lang w:val="en-US" w:eastAsia="ru-RU"/>
        </w:rPr>
        <w:t>mean</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daily urinary calcium excretion was 0.93</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0.6 mmol/l, with normal creatinine levels – 1.65</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1.2 mmol/l (p=0.001). In the group of patients with low urinary calcium excretion the </w:t>
      </w:r>
      <w:r>
        <w:rPr>
          <w:rFonts w:eastAsia="Times New Roman" w:cs="Times New Roman" w:ascii="Times New Roman" w:hAnsi="Times New Roman"/>
          <w:b w:val="false"/>
          <w:i w:val="false"/>
          <w:caps w:val="false"/>
          <w:smallCaps w:val="false"/>
          <w:color w:val="000000"/>
          <w:spacing w:val="0"/>
          <w:sz w:val="24"/>
          <w:szCs w:val="24"/>
          <w:lang w:val="en-US" w:eastAsia="ru-RU"/>
        </w:rPr>
        <w:t>mean</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 creatinine level reached 102.3</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23.9 µmol/l, with normal excretion – 84.9</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 xml:space="preserve">11.2 µmol/l (p&lt;0.0001). There was a significant direct correlation between daily urinary calcium excretion and glomerular filtration rate, estimated using the CKD-EPI formula (r=0.39; p&lt;0.0001) and an inverse correlation between blood calcium and GFR (r=-0.26; p=0.01). </w:t>
      </w:r>
      <w:bookmarkStart w:id="3" w:name="tw-target-text5"/>
      <w:bookmarkEnd w:id="3"/>
      <w:r>
        <w:rPr>
          <w:rFonts w:eastAsia="Times New Roman" w:cs="Times New Roman" w:ascii="Times New Roman" w:hAnsi="Times New Roman"/>
          <w:b w:val="false"/>
          <w:i w:val="false"/>
          <w:caps w:val="false"/>
          <w:smallCaps w:val="false"/>
          <w:color w:val="000000"/>
          <w:spacing w:val="0"/>
          <w:sz w:val="24"/>
          <w:szCs w:val="24"/>
          <w:lang w:val="en-US" w:eastAsia="ru-RU"/>
        </w:rPr>
        <w:t>The mean age of patients with low urinary calcium excretion was 83.7</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6.0 years, with normal excretion - 80.1</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5.1 years (p=0.03). No significant correlations were found between urinary calcium excretion and bone mineral density in the lumbar spine and proximal femurs (p=0.26-0.76).</w:t>
      </w:r>
      <w:bookmarkStart w:id="4" w:name="tw-target-text6"/>
      <w:bookmarkEnd w:id="4"/>
      <w:r>
        <w:rPr>
          <w:rFonts w:eastAsia="Times New Roman" w:cs="Times New Roman" w:ascii="Times New Roman" w:hAnsi="Times New Roman"/>
          <w:b w:val="false"/>
          <w:i w:val="false"/>
          <w:caps w:val="false"/>
          <w:smallCaps w:val="false"/>
          <w:color w:val="000000"/>
          <w:spacing w:val="0"/>
          <w:sz w:val="24"/>
          <w:szCs w:val="24"/>
          <w:lang w:val="en-US" w:eastAsia="ru-RU"/>
        </w:rPr>
        <w:t xml:space="preserve"> No significant correlation was found between the blood concentration of ionized calcium and calcium excretion in the urine (r=-0.08; p=0.44). Significant direct relationship was registered between the blood concentration of ionized calcium and the creatinine (r=0.2; p=0.05) and urea (r=0.32; p=0.04) concentration. In the group of patients with elevated creatinine levels the mean blood concentration of ionized calcium was 1.27</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0.06 mmol/l, with normal - 1.25</w:t>
      </w:r>
      <w:r>
        <w:rPr>
          <w:rFonts w:eastAsia="Times New Roman" w:cs="Times New Roman" w:ascii="Times New Roman" w:hAnsi="Times New Roman"/>
          <w:b w:val="false"/>
          <w:i w:val="false"/>
          <w:caps w:val="false"/>
          <w:smallCaps w:val="false"/>
          <w:color w:val="000000"/>
          <w:spacing w:val="0"/>
          <w:sz w:val="24"/>
          <w:szCs w:val="24"/>
          <w:u w:val="single"/>
          <w:lang w:val="en-US" w:eastAsia="ru-RU"/>
        </w:rPr>
        <w:t>+</w:t>
      </w:r>
      <w:r>
        <w:rPr>
          <w:rFonts w:eastAsia="Times New Roman" w:cs="Times New Roman" w:ascii="Times New Roman" w:hAnsi="Times New Roman"/>
          <w:b w:val="false"/>
          <w:i w:val="false"/>
          <w:caps w:val="false"/>
          <w:smallCaps w:val="false"/>
          <w:color w:val="000000"/>
          <w:spacing w:val="0"/>
          <w:sz w:val="24"/>
          <w:szCs w:val="24"/>
          <w:lang w:val="en-US" w:eastAsia="ru-RU"/>
        </w:rPr>
        <w:t>0.04 mmol/l (p=0.04). There were no other significant relationships between the blood concentration of ionized calcium and various clinical and laboratory parameters.</w:t>
      </w:r>
    </w:p>
    <w:p>
      <w:pPr>
        <w:pStyle w:val="Normal"/>
        <w:spacing w:lineRule="auto" w:line="240" w:before="0" w:after="0"/>
        <w:jc w:val="both"/>
        <w:rPr/>
      </w:pPr>
      <w:r>
        <w:rPr>
          <w:rStyle w:val="Y2iqfc"/>
          <w:rFonts w:eastAsia="Times New Roman" w:cs="Times New Roman" w:ascii="Times New Roman" w:hAnsi="Times New Roman"/>
          <w:b/>
          <w:bCs/>
          <w:i/>
          <w:color w:val="000000"/>
          <w:sz w:val="24"/>
          <w:szCs w:val="24"/>
          <w:lang w:val="en-US" w:eastAsia="ru-RU"/>
        </w:rPr>
        <w:t>Concl</w:t>
      </w:r>
      <w:r>
        <w:rPr>
          <w:rStyle w:val="Y2iqfc"/>
          <w:rFonts w:eastAsia="Times New Roman" w:cs="Times New Roman" w:ascii="Times New Roman" w:hAnsi="Times New Roman"/>
          <w:b/>
          <w:bCs/>
          <w:i/>
          <w:color w:val="000000"/>
          <w:sz w:val="24"/>
          <w:szCs w:val="24"/>
          <w:lang w:val="en-US" w:eastAsia="ru-RU"/>
        </w:rPr>
        <w:t>usi</w:t>
      </w:r>
      <w:r>
        <w:rPr>
          <w:rStyle w:val="Y2iqfc"/>
          <w:rFonts w:eastAsia="Times New Roman" w:cs="Times New Roman" w:ascii="Times New Roman" w:hAnsi="Times New Roman"/>
          <w:b/>
          <w:bCs/>
          <w:i/>
          <w:color w:val="000000"/>
          <w:sz w:val="24"/>
          <w:szCs w:val="24"/>
          <w:lang w:val="en-US" w:eastAsia="ru-RU"/>
        </w:rPr>
        <w:t>on</w:t>
      </w:r>
    </w:p>
    <w:p>
      <w:pPr>
        <w:pStyle w:val="Style19"/>
        <w:spacing w:lineRule="auto" w:line="240" w:before="0" w:after="0"/>
        <w:jc w:val="both"/>
        <w:rPr>
          <w:rFonts w:ascii="Times New Roman" w:hAnsi="Times New Roman"/>
          <w:b w:val="false"/>
          <w:i w:val="false"/>
          <w:caps w:val="false"/>
          <w:smallCaps w:val="false"/>
          <w:color w:val="000000"/>
          <w:spacing w:val="0"/>
          <w:sz w:val="24"/>
          <w:szCs w:val="24"/>
          <w:lang w:val="en-US"/>
        </w:rPr>
      </w:pPr>
      <w:bookmarkStart w:id="5" w:name="tw-target-text7"/>
      <w:bookmarkEnd w:id="5"/>
      <w:r>
        <w:rPr>
          <w:rFonts w:ascii="Times New Roman" w:hAnsi="Times New Roman"/>
          <w:b w:val="false"/>
          <w:i w:val="false"/>
          <w:caps w:val="false"/>
          <w:smallCaps w:val="false"/>
          <w:color w:val="000000"/>
          <w:spacing w:val="0"/>
          <w:sz w:val="24"/>
          <w:szCs w:val="24"/>
          <w:lang w:val="en-US"/>
        </w:rPr>
        <w:t>The study results demonstrate a low level of calcium excretion in the urine in very elderly patients with coronary artery disease. The urine calcium excretion is primarily due to impaired renal function and low vitamin D concentration. No significant relationship between the blood concentration of ionized calcium and calcium excretion in the urine has been registered.</w:t>
      </w:r>
    </w:p>
    <w:p>
      <w:pPr>
        <w:pStyle w:val="Normal"/>
        <w:spacing w:lineRule="auto" w:line="240" w:before="0" w:after="0"/>
        <w:jc w:val="both"/>
        <w:rPr>
          <w:rFonts w:ascii="Times New Roman" w:hAnsi="Times New Roman"/>
        </w:rPr>
      </w:pPr>
      <w:r>
        <w:rPr/>
      </w:r>
    </w:p>
    <w:p>
      <w:pPr>
        <w:pStyle w:val="Normal"/>
        <w:spacing w:lineRule="auto" w:line="240" w:before="0" w:after="0"/>
        <w:jc w:val="both"/>
        <w:rPr>
          <w:rFonts w:ascii="Times New Roman" w:hAnsi="Times New Roman" w:eastAsia="Times New Roman" w:cs="Times New Roman"/>
          <w:sz w:val="24"/>
          <w:szCs w:val="24"/>
          <w:lang w:eastAsia="ru-RU"/>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ourier New">
    <w:charset w:val="cc"/>
    <w:family w:val="roman"/>
    <w:pitch w:val="variable"/>
  </w:font>
  <w:font w:name="Liberation Sans">
    <w:altName w:val="Arial"/>
    <w:charset w:val="cc"/>
    <w:family w:val="swiss"/>
    <w:pitch w:val="variable"/>
  </w:font>
  <w:font w:name="Liberation Mono">
    <w:altName w:val="Courier New"/>
    <w:charset w:val="cc"/>
    <w:family w:val="modern"/>
    <w:pitch w:val="fixed"/>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802d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Normal"/>
    <w:link w:val="20"/>
    <w:uiPriority w:val="9"/>
    <w:qFormat/>
    <w:rsid w:val="00f8000e"/>
    <w:pPr>
      <w:spacing w:lineRule="auto" w:line="240" w:beforeAutospacing="1" w:afterAutospacing="1"/>
      <w:outlineLvl w:val="1"/>
    </w:pPr>
    <w:rPr>
      <w:rFonts w:ascii="Times New Roman" w:hAnsi="Times New Roman" w:eastAsia="Times New Roman" w:cs="Times New Roman"/>
      <w:b/>
      <w:bCs/>
      <w:sz w:val="36"/>
      <w:szCs w:val="36"/>
      <w:lang w:eastAsia="ru-RU"/>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link w:val="2"/>
    <w:uiPriority w:val="9"/>
    <w:qFormat/>
    <w:rsid w:val="00f8000e"/>
    <w:rPr>
      <w:rFonts w:ascii="Times New Roman" w:hAnsi="Times New Roman" w:eastAsia="Times New Roman" w:cs="Times New Roman"/>
      <w:b/>
      <w:bCs/>
      <w:sz w:val="36"/>
      <w:szCs w:val="36"/>
      <w:lang w:eastAsia="ru-RU"/>
    </w:rPr>
  </w:style>
  <w:style w:type="character" w:styleId="Ztplmc" w:customStyle="1">
    <w:name w:val="ztplmc"/>
    <w:basedOn w:val="DefaultParagraphFont"/>
    <w:qFormat/>
    <w:rsid w:val="00f8000e"/>
    <w:rPr/>
  </w:style>
  <w:style w:type="character" w:styleId="Viiyi" w:customStyle="1">
    <w:name w:val="viiyi"/>
    <w:basedOn w:val="DefaultParagraphFont"/>
    <w:qFormat/>
    <w:rsid w:val="00f8000e"/>
    <w:rPr/>
  </w:style>
  <w:style w:type="character" w:styleId="Q4iawc" w:customStyle="1">
    <w:name w:val="q4iawc"/>
    <w:basedOn w:val="DefaultParagraphFont"/>
    <w:qFormat/>
    <w:rsid w:val="00f8000e"/>
    <w:rPr/>
  </w:style>
  <w:style w:type="character" w:styleId="Y2iqfc" w:customStyle="1">
    <w:name w:val="y2iqfc"/>
    <w:basedOn w:val="DefaultParagraphFont"/>
    <w:qFormat/>
    <w:rsid w:val="00126b30"/>
    <w:rPr/>
  </w:style>
  <w:style w:type="character" w:styleId="Style13" w:customStyle="1">
    <w:name w:val="Интернет-ссылка"/>
    <w:basedOn w:val="DefaultParagraphFont"/>
    <w:uiPriority w:val="99"/>
    <w:unhideWhenUsed/>
    <w:rsid w:val="00126b30"/>
    <w:rPr>
      <w:color w:val="0000FF"/>
      <w:u w:val="single"/>
    </w:rPr>
  </w:style>
  <w:style w:type="character" w:styleId="Strong">
    <w:name w:val="Strong"/>
    <w:basedOn w:val="DefaultParagraphFont"/>
    <w:uiPriority w:val="22"/>
    <w:qFormat/>
    <w:rsid w:val="002f2d98"/>
    <w:rPr>
      <w:b/>
      <w:bCs/>
    </w:rPr>
  </w:style>
  <w:style w:type="character" w:styleId="HTML" w:customStyle="1">
    <w:name w:val="Стандартный HTML Знак"/>
    <w:basedOn w:val="DefaultParagraphFont"/>
    <w:link w:val="HTML"/>
    <w:uiPriority w:val="99"/>
    <w:semiHidden/>
    <w:qFormat/>
    <w:rsid w:val="00cc16ec"/>
    <w:rPr>
      <w:rFonts w:ascii="Courier New" w:hAnsi="Courier New" w:eastAsia="Times New Roman" w:cs="Courier New"/>
      <w:sz w:val="20"/>
      <w:szCs w:val="20"/>
      <w:lang w:eastAsia="ru-RU"/>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NormalWeb">
    <w:name w:val="Normal (Web)"/>
    <w:basedOn w:val="Normal"/>
    <w:uiPriority w:val="99"/>
    <w:unhideWhenUsed/>
    <w:qFormat/>
    <w:rsid w:val="00126b30"/>
    <w:pPr>
      <w:suppressAutoHyphens w:val="true"/>
      <w:spacing w:lineRule="auto" w:line="240" w:beforeAutospacing="1" w:afterAutospacing="1"/>
    </w:pPr>
    <w:rPr>
      <w:rFonts w:ascii="Times New Roman" w:hAnsi="Times New Roman" w:eastAsia="" w:cs="Times New Roman" w:eastAsiaTheme="minorEastAsia"/>
      <w:sz w:val="24"/>
      <w:szCs w:val="24"/>
      <w:lang w:val="en-US"/>
    </w:rPr>
  </w:style>
  <w:style w:type="paragraph" w:styleId="HTMLPreformatted">
    <w:name w:val="HTML Preformatted"/>
    <w:basedOn w:val="Normal"/>
    <w:link w:val="HTML0"/>
    <w:uiPriority w:val="99"/>
    <w:semiHidden/>
    <w:unhideWhenUsed/>
    <w:qFormat/>
    <w:rsid w:val="00cc16ec"/>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Style19">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LibreOffice/7.1.3.2$Windows_X86_64 LibreOffice_project/47f78053abe362b9384784d31a6e56f8511eb1c1</Application>
  <AppVersion>15.0000</AppVersion>
  <Pages>2</Pages>
  <Words>738</Words>
  <Characters>4244</Characters>
  <CharactersWithSpaces>4982</CharactersWithSpaces>
  <Paragraphs>11</Paragraphs>
  <Company>MultiDVD Team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2022-09-14T05:15:00Z</dcterms:created>
  <dc:creator>HP</dc:creator>
  <dc:description/>
  <dc:language>ru-RU</dc:language>
  <cp:lastModifiedBy/>
  <dcterms:modified xsi:type="dcterms:W3CDTF">2022-09-16T16:25:09Z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