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6AD1" w:rsidRPr="00250334" w:rsidRDefault="00A56AD1" w:rsidP="00A56AD1">
      <w:pPr>
        <w:spacing w:line="240" w:lineRule="auto"/>
        <w:jc w:val="center"/>
        <w:rPr>
          <w:rFonts w:asciiTheme="majorBidi" w:hAnsiTheme="majorBidi" w:cstheme="majorBidi"/>
          <w:b/>
          <w:bCs/>
          <w:sz w:val="24"/>
          <w:szCs w:val="24"/>
        </w:rPr>
      </w:pPr>
      <w:r w:rsidRPr="00250334">
        <w:rPr>
          <w:rFonts w:asciiTheme="majorBidi" w:hAnsiTheme="majorBidi" w:cstheme="majorBidi"/>
          <w:b/>
          <w:bCs/>
          <w:sz w:val="24"/>
          <w:szCs w:val="24"/>
        </w:rPr>
        <w:t xml:space="preserve">Genetic Diversity </w:t>
      </w:r>
      <w:r>
        <w:rPr>
          <w:rFonts w:asciiTheme="majorBidi" w:hAnsiTheme="majorBidi" w:cstheme="majorBidi"/>
          <w:b/>
          <w:bCs/>
          <w:sz w:val="24"/>
          <w:szCs w:val="24"/>
        </w:rPr>
        <w:t xml:space="preserve">and Conservation </w:t>
      </w:r>
      <w:r w:rsidRPr="00250334">
        <w:rPr>
          <w:rFonts w:asciiTheme="majorBidi" w:hAnsiTheme="majorBidi" w:cstheme="majorBidi"/>
          <w:b/>
          <w:bCs/>
          <w:sz w:val="24"/>
          <w:szCs w:val="24"/>
        </w:rPr>
        <w:t>of the Wild Olive Tree (</w:t>
      </w:r>
      <w:r w:rsidRPr="00250334">
        <w:rPr>
          <w:rFonts w:asciiTheme="majorBidi" w:hAnsiTheme="majorBidi" w:cstheme="majorBidi"/>
          <w:b/>
          <w:bCs/>
          <w:i/>
          <w:iCs/>
          <w:sz w:val="24"/>
          <w:szCs w:val="24"/>
        </w:rPr>
        <w:t>Olea europaea</w:t>
      </w:r>
      <w:r w:rsidRPr="00250334">
        <w:rPr>
          <w:rFonts w:asciiTheme="majorBidi" w:hAnsiTheme="majorBidi" w:cstheme="majorBidi"/>
          <w:b/>
          <w:bCs/>
          <w:sz w:val="24"/>
          <w:szCs w:val="24"/>
        </w:rPr>
        <w:t xml:space="preserve"> subsp. </w:t>
      </w:r>
      <w:r w:rsidRPr="00250334">
        <w:rPr>
          <w:rFonts w:asciiTheme="majorBidi" w:hAnsiTheme="majorBidi" w:cstheme="majorBidi"/>
          <w:b/>
          <w:bCs/>
          <w:i/>
          <w:iCs/>
          <w:sz w:val="24"/>
          <w:szCs w:val="24"/>
        </w:rPr>
        <w:t xml:space="preserve">europaea </w:t>
      </w:r>
      <w:r w:rsidRPr="00250334">
        <w:rPr>
          <w:rFonts w:asciiTheme="majorBidi" w:hAnsiTheme="majorBidi" w:cstheme="majorBidi"/>
          <w:b/>
          <w:bCs/>
          <w:sz w:val="24"/>
          <w:szCs w:val="24"/>
        </w:rPr>
        <w:t xml:space="preserve">var. </w:t>
      </w:r>
      <w:r w:rsidRPr="00250334">
        <w:rPr>
          <w:rFonts w:asciiTheme="majorBidi" w:hAnsiTheme="majorBidi" w:cstheme="majorBidi"/>
          <w:b/>
          <w:bCs/>
          <w:i/>
          <w:iCs/>
          <w:sz w:val="24"/>
          <w:szCs w:val="24"/>
        </w:rPr>
        <w:t>sylvestris</w:t>
      </w:r>
      <w:r w:rsidRPr="00250334">
        <w:rPr>
          <w:rFonts w:asciiTheme="majorBidi" w:hAnsiTheme="majorBidi" w:cstheme="majorBidi"/>
          <w:b/>
          <w:bCs/>
          <w:sz w:val="24"/>
          <w:szCs w:val="24"/>
        </w:rPr>
        <w:t>) in northern Algeria by the Molecular Approach</w:t>
      </w:r>
    </w:p>
    <w:p w:rsidR="00A56AD1" w:rsidRPr="00E415A2" w:rsidRDefault="00A56AD1" w:rsidP="00A56AD1">
      <w:pPr>
        <w:spacing w:after="0" w:line="240" w:lineRule="auto"/>
        <w:jc w:val="center"/>
        <w:rPr>
          <w:rFonts w:ascii="Times New Roman" w:hAnsi="Times New Roman" w:cs="Times New Roman"/>
          <w:bCs/>
          <w:vertAlign w:val="superscript"/>
          <w:lang w:val="es-US"/>
        </w:rPr>
      </w:pPr>
      <w:proofErr w:type="spellStart"/>
      <w:r w:rsidRPr="00E415A2">
        <w:rPr>
          <w:rFonts w:ascii="Times New Roman" w:hAnsi="Times New Roman" w:cs="Times New Roman"/>
          <w:bCs/>
          <w:lang w:val="es-US"/>
        </w:rPr>
        <w:t>WahibaFalek</w:t>
      </w:r>
      <w:proofErr w:type="spellEnd"/>
      <w:r w:rsidRPr="00E415A2">
        <w:rPr>
          <w:rFonts w:ascii="Times New Roman" w:hAnsi="Times New Roman" w:cs="Times New Roman"/>
          <w:bCs/>
          <w:vertAlign w:val="superscript"/>
          <w:lang w:val="es-US"/>
        </w:rPr>
        <w:t>*</w:t>
      </w:r>
      <w:r w:rsidRPr="00E415A2">
        <w:rPr>
          <w:rFonts w:ascii="Times New Roman" w:hAnsi="Times New Roman" w:cs="Times New Roman"/>
          <w:vertAlign w:val="superscript"/>
          <w:lang w:val="es-US"/>
        </w:rPr>
        <w:t>1</w:t>
      </w:r>
      <w:r w:rsidRPr="00E415A2">
        <w:rPr>
          <w:rFonts w:ascii="Times New Roman" w:hAnsi="Times New Roman" w:cs="Times New Roman"/>
          <w:lang w:val="es-US"/>
        </w:rPr>
        <w:t xml:space="preserve">, </w:t>
      </w:r>
      <w:proofErr w:type="spellStart"/>
      <w:r w:rsidRPr="00E415A2">
        <w:rPr>
          <w:rFonts w:ascii="Times New Roman" w:hAnsi="Times New Roman" w:cs="Times New Roman"/>
          <w:bCs/>
          <w:lang w:val="es-US"/>
        </w:rPr>
        <w:t>MonicaMarilena</w:t>
      </w:r>
      <w:proofErr w:type="spellEnd"/>
      <w:r w:rsidRPr="00E415A2">
        <w:rPr>
          <w:rFonts w:ascii="Times New Roman" w:hAnsi="Times New Roman" w:cs="Times New Roman"/>
          <w:bCs/>
          <w:lang w:val="es-US"/>
        </w:rPr>
        <w:t xml:space="preserve"> Miazzi</w:t>
      </w:r>
      <w:r w:rsidRPr="00E415A2">
        <w:rPr>
          <w:rFonts w:ascii="Times New Roman" w:hAnsi="Times New Roman" w:cs="Times New Roman"/>
          <w:bCs/>
          <w:vertAlign w:val="superscript"/>
          <w:lang w:val="es-US"/>
        </w:rPr>
        <w:t>2</w:t>
      </w:r>
      <w:r w:rsidRPr="00E415A2">
        <w:rPr>
          <w:rFonts w:ascii="Times New Roman" w:hAnsi="Times New Roman" w:cs="Times New Roman"/>
          <w:bCs/>
          <w:lang w:val="es-US"/>
        </w:rPr>
        <w:t xml:space="preserve">, </w:t>
      </w:r>
      <w:proofErr w:type="spellStart"/>
      <w:r w:rsidRPr="00E415A2">
        <w:rPr>
          <w:rFonts w:ascii="Times New Roman" w:hAnsi="Times New Roman" w:cs="Times New Roman"/>
          <w:bCs/>
          <w:lang w:val="es-US"/>
        </w:rPr>
        <w:t>Cinzia</w:t>
      </w:r>
      <w:proofErr w:type="spellEnd"/>
      <w:r w:rsidRPr="00E415A2">
        <w:rPr>
          <w:rFonts w:ascii="Times New Roman" w:hAnsi="Times New Roman" w:cs="Times New Roman"/>
          <w:bCs/>
          <w:lang w:val="es-US"/>
        </w:rPr>
        <w:t xml:space="preserve"> Montemurro</w:t>
      </w:r>
      <w:r w:rsidRPr="00E415A2">
        <w:rPr>
          <w:rFonts w:ascii="Times New Roman" w:hAnsi="Times New Roman" w:cs="Times New Roman"/>
          <w:bCs/>
          <w:vertAlign w:val="superscript"/>
          <w:lang w:val="es-US"/>
        </w:rPr>
        <w:t xml:space="preserve">2 </w:t>
      </w:r>
      <w:proofErr w:type="spellStart"/>
      <w:r w:rsidRPr="00E415A2">
        <w:rPr>
          <w:rFonts w:ascii="Times New Roman" w:hAnsi="Times New Roman" w:cs="Times New Roman"/>
          <w:bCs/>
          <w:lang w:val="es-US"/>
        </w:rPr>
        <w:t>Douadi</w:t>
      </w:r>
      <w:proofErr w:type="spellEnd"/>
      <w:r w:rsidRPr="00E415A2">
        <w:rPr>
          <w:rFonts w:ascii="Times New Roman" w:hAnsi="Times New Roman" w:cs="Times New Roman"/>
          <w:bCs/>
          <w:lang w:val="es-US"/>
        </w:rPr>
        <w:t xml:space="preserve"> Khelifi</w:t>
      </w:r>
      <w:r w:rsidRPr="00E415A2">
        <w:rPr>
          <w:rFonts w:ascii="Times New Roman" w:hAnsi="Times New Roman" w:cs="Times New Roman"/>
          <w:bCs/>
          <w:vertAlign w:val="superscript"/>
          <w:lang w:val="es-US"/>
        </w:rPr>
        <w:t>1</w:t>
      </w:r>
    </w:p>
    <w:p w:rsidR="00A56AD1" w:rsidRPr="00E415A2" w:rsidRDefault="00A56AD1" w:rsidP="00A56AD1">
      <w:pPr>
        <w:spacing w:after="0" w:line="240" w:lineRule="auto"/>
        <w:jc w:val="center"/>
        <w:rPr>
          <w:rFonts w:ascii="Times New Roman" w:hAnsi="Times New Roman" w:cs="Times New Roman"/>
          <w:vertAlign w:val="superscript"/>
          <w:lang w:val="es-US"/>
        </w:rPr>
      </w:pPr>
    </w:p>
    <w:p w:rsidR="00A56AD1" w:rsidRPr="00E415A2" w:rsidRDefault="00A56AD1" w:rsidP="00A56AD1">
      <w:pPr>
        <w:spacing w:after="0" w:line="240" w:lineRule="auto"/>
        <w:jc w:val="center"/>
        <w:rPr>
          <w:rFonts w:asciiTheme="majorBidi" w:hAnsiTheme="majorBidi" w:cstheme="majorBidi"/>
        </w:rPr>
      </w:pPr>
      <w:r w:rsidRPr="00E415A2">
        <w:rPr>
          <w:rFonts w:asciiTheme="majorBidi" w:hAnsiTheme="majorBidi" w:cstheme="majorBidi"/>
          <w:vertAlign w:val="superscript"/>
          <w:lang w:val="fr-FR"/>
        </w:rPr>
        <w:t xml:space="preserve">1 </w:t>
      </w:r>
      <w:r w:rsidRPr="00E415A2">
        <w:rPr>
          <w:rFonts w:asciiTheme="majorBidi" w:hAnsiTheme="majorBidi" w:cstheme="majorBidi"/>
          <w:lang w:val="fr-FR"/>
        </w:rPr>
        <w:t xml:space="preserve">École Nationale Supérieure de Biotechnologie, Ville Universitaire Ali </w:t>
      </w:r>
      <w:proofErr w:type="spellStart"/>
      <w:r w:rsidRPr="00E415A2">
        <w:rPr>
          <w:rFonts w:asciiTheme="majorBidi" w:hAnsiTheme="majorBidi" w:cstheme="majorBidi"/>
          <w:lang w:val="fr-FR"/>
        </w:rPr>
        <w:t>Mendjeli</w:t>
      </w:r>
      <w:proofErr w:type="spellEnd"/>
      <w:r w:rsidRPr="00E415A2">
        <w:rPr>
          <w:rFonts w:asciiTheme="majorBidi" w:hAnsiTheme="majorBidi" w:cstheme="majorBidi"/>
          <w:lang w:val="fr-FR"/>
        </w:rPr>
        <w:t xml:space="preserve">, BP E66 – 251000 – Constantine, Algérie. </w:t>
      </w:r>
      <w:r w:rsidRPr="00E415A2">
        <w:rPr>
          <w:rFonts w:asciiTheme="majorBidi" w:hAnsiTheme="majorBidi" w:cstheme="majorBidi"/>
        </w:rPr>
        <w:t xml:space="preserve">Email: </w:t>
      </w:r>
      <w:hyperlink r:id="rId7" w:history="1">
        <w:r w:rsidRPr="00E415A2">
          <w:rPr>
            <w:rStyle w:val="Lienhypertexte"/>
            <w:rFonts w:asciiTheme="majorBidi" w:hAnsiTheme="majorBidi" w:cstheme="majorBidi"/>
          </w:rPr>
          <w:t>wfalek@ymail.com</w:t>
        </w:r>
      </w:hyperlink>
      <w:r w:rsidRPr="00E415A2">
        <w:rPr>
          <w:rStyle w:val="Lienhypertexte"/>
          <w:rFonts w:asciiTheme="majorBidi" w:hAnsiTheme="majorBidi" w:cstheme="majorBidi"/>
        </w:rPr>
        <w:t>*</w:t>
      </w:r>
      <w:r w:rsidRPr="00E415A2">
        <w:rPr>
          <w:rStyle w:val="Lienhypertexte"/>
          <w:rFonts w:asciiTheme="majorBidi" w:hAnsiTheme="majorBidi" w:cstheme="majorBidi"/>
          <w:u w:val="none"/>
        </w:rPr>
        <w:t xml:space="preserve">, </w:t>
      </w:r>
      <w:hyperlink r:id="rId8" w:history="1">
        <w:r w:rsidRPr="00E415A2">
          <w:rPr>
            <w:rStyle w:val="Lienhypertexte"/>
            <w:rFonts w:asciiTheme="majorBidi" w:hAnsiTheme="majorBidi" w:cstheme="majorBidi"/>
          </w:rPr>
          <w:t>dkhelifi@yahoo.fr</w:t>
        </w:r>
      </w:hyperlink>
    </w:p>
    <w:p w:rsidR="00A56AD1" w:rsidRDefault="00A56AD1" w:rsidP="00A56AD1">
      <w:pPr>
        <w:spacing w:after="0" w:line="240" w:lineRule="auto"/>
        <w:jc w:val="center"/>
        <w:rPr>
          <w:rStyle w:val="Lienhypertexte"/>
          <w:rFonts w:asciiTheme="majorBidi" w:hAnsiTheme="majorBidi" w:cstheme="majorBidi"/>
          <w:u w:val="none"/>
        </w:rPr>
      </w:pPr>
      <w:proofErr w:type="gramStart"/>
      <w:r w:rsidRPr="00E415A2">
        <w:rPr>
          <w:rFonts w:asciiTheme="majorBidi" w:hAnsiTheme="majorBidi" w:cstheme="majorBidi"/>
          <w:vertAlign w:val="superscript"/>
        </w:rPr>
        <w:t xml:space="preserve">2 </w:t>
      </w:r>
      <w:r w:rsidRPr="00E415A2">
        <w:rPr>
          <w:rFonts w:asciiTheme="majorBidi" w:hAnsiTheme="majorBidi" w:cstheme="majorBidi"/>
        </w:rPr>
        <w:t xml:space="preserve">Department of Soil, Plant and Food Sciences, University of Bari Aldo Moro, via </w:t>
      </w:r>
      <w:proofErr w:type="spellStart"/>
      <w:r w:rsidRPr="00E415A2">
        <w:rPr>
          <w:rFonts w:asciiTheme="majorBidi" w:hAnsiTheme="majorBidi" w:cstheme="majorBidi"/>
        </w:rPr>
        <w:t>Amendola</w:t>
      </w:r>
      <w:proofErr w:type="spellEnd"/>
      <w:r w:rsidRPr="00E415A2">
        <w:rPr>
          <w:rFonts w:asciiTheme="majorBidi" w:hAnsiTheme="majorBidi" w:cstheme="majorBidi"/>
        </w:rPr>
        <w:t xml:space="preserve"> 165/A, Bari, 70125, Italy.</w:t>
      </w:r>
      <w:proofErr w:type="gramEnd"/>
      <w:r w:rsidRPr="00E415A2">
        <w:rPr>
          <w:rFonts w:asciiTheme="majorBidi" w:hAnsiTheme="majorBidi" w:cstheme="majorBidi"/>
        </w:rPr>
        <w:t xml:space="preserve"> Email: </w:t>
      </w:r>
      <w:hyperlink r:id="rId9" w:history="1">
        <w:r w:rsidRPr="00E415A2">
          <w:rPr>
            <w:rStyle w:val="Lienhypertexte"/>
            <w:rFonts w:asciiTheme="majorBidi" w:hAnsiTheme="majorBidi" w:cstheme="majorBidi"/>
          </w:rPr>
          <w:t>monicamarilena.miazzi@uniba.it</w:t>
        </w:r>
      </w:hyperlink>
      <w:r w:rsidRPr="00E415A2">
        <w:rPr>
          <w:rStyle w:val="Lienhypertexte"/>
          <w:rFonts w:asciiTheme="majorBidi" w:hAnsiTheme="majorBidi" w:cstheme="majorBidi"/>
          <w:u w:val="none"/>
        </w:rPr>
        <w:t xml:space="preserve">; </w:t>
      </w:r>
      <w:r w:rsidRPr="00E415A2">
        <w:rPr>
          <w:rStyle w:val="Lienhypertexte"/>
          <w:rFonts w:asciiTheme="majorBidi" w:hAnsiTheme="majorBidi" w:cstheme="majorBidi"/>
        </w:rPr>
        <w:t>cinzia.</w:t>
      </w:r>
      <w:hyperlink r:id="rId10" w:history="1">
        <w:r w:rsidRPr="00E415A2">
          <w:rPr>
            <w:rStyle w:val="Lienhypertexte"/>
            <w:rFonts w:asciiTheme="majorBidi" w:hAnsiTheme="majorBidi" w:cstheme="majorBidi"/>
          </w:rPr>
          <w:t>montemurro@uniba.it</w:t>
        </w:r>
      </w:hyperlink>
    </w:p>
    <w:p w:rsidR="00A56AD1" w:rsidRDefault="00A56AD1" w:rsidP="00A56AD1">
      <w:pPr>
        <w:spacing w:after="0" w:line="240" w:lineRule="auto"/>
        <w:rPr>
          <w:rStyle w:val="Lienhypertexte"/>
          <w:rFonts w:asciiTheme="majorBidi" w:hAnsiTheme="majorBidi" w:cstheme="majorBidi"/>
          <w:u w:val="none"/>
        </w:rPr>
      </w:pPr>
    </w:p>
    <w:p w:rsidR="00A56AD1" w:rsidRDefault="00A56AD1" w:rsidP="00A56AD1">
      <w:pPr>
        <w:spacing w:after="0" w:line="240" w:lineRule="auto"/>
        <w:rPr>
          <w:rStyle w:val="Lienhypertexte"/>
          <w:rFonts w:asciiTheme="majorBidi" w:hAnsiTheme="majorBidi" w:cstheme="majorBidi"/>
          <w:b/>
          <w:bCs/>
          <w:color w:val="auto"/>
          <w:sz w:val="24"/>
          <w:szCs w:val="24"/>
          <w:u w:val="none"/>
        </w:rPr>
      </w:pPr>
    </w:p>
    <w:p w:rsidR="00A56AD1" w:rsidRDefault="00A56AD1" w:rsidP="00A56AD1">
      <w:pPr>
        <w:spacing w:after="0" w:line="240" w:lineRule="auto"/>
        <w:rPr>
          <w:rStyle w:val="Lienhypertexte"/>
          <w:rFonts w:asciiTheme="majorBidi" w:hAnsiTheme="majorBidi" w:cstheme="majorBidi"/>
          <w:b/>
          <w:bCs/>
          <w:color w:val="auto"/>
          <w:sz w:val="24"/>
          <w:szCs w:val="24"/>
          <w:u w:val="none"/>
        </w:rPr>
      </w:pPr>
      <w:r w:rsidRPr="00127495">
        <w:rPr>
          <w:rStyle w:val="Lienhypertexte"/>
          <w:rFonts w:asciiTheme="majorBidi" w:hAnsiTheme="majorBidi" w:cstheme="majorBidi"/>
          <w:b/>
          <w:bCs/>
          <w:color w:val="auto"/>
          <w:sz w:val="24"/>
          <w:szCs w:val="24"/>
          <w:u w:val="none"/>
        </w:rPr>
        <w:t>Abstract</w:t>
      </w:r>
    </w:p>
    <w:p w:rsidR="00A56AD1" w:rsidRPr="00127495" w:rsidRDefault="00A56AD1" w:rsidP="00A56AD1">
      <w:pPr>
        <w:spacing w:after="0" w:line="240" w:lineRule="auto"/>
        <w:rPr>
          <w:rStyle w:val="Lienhypertexte"/>
          <w:rFonts w:asciiTheme="majorBidi" w:hAnsiTheme="majorBidi" w:cstheme="majorBidi"/>
          <w:b/>
          <w:bCs/>
          <w:color w:val="auto"/>
          <w:sz w:val="24"/>
          <w:szCs w:val="24"/>
        </w:rPr>
      </w:pPr>
    </w:p>
    <w:p w:rsidR="00A56AD1" w:rsidRPr="00B57AA9" w:rsidRDefault="00A56AD1" w:rsidP="00A56AD1">
      <w:pPr>
        <w:spacing w:line="240" w:lineRule="auto"/>
        <w:ind w:firstLine="708"/>
        <w:jc w:val="both"/>
        <w:rPr>
          <w:rFonts w:asciiTheme="majorBidi" w:hAnsiTheme="majorBidi" w:cstheme="majorBidi"/>
          <w:sz w:val="24"/>
          <w:szCs w:val="24"/>
        </w:rPr>
      </w:pPr>
      <w:r w:rsidRPr="002A0836">
        <w:rPr>
          <w:rFonts w:asciiTheme="majorBidi" w:hAnsiTheme="majorBidi" w:cstheme="majorBidi"/>
          <w:sz w:val="24"/>
          <w:szCs w:val="24"/>
        </w:rPr>
        <w:t xml:space="preserve">The </w:t>
      </w:r>
      <w:r>
        <w:rPr>
          <w:rFonts w:asciiTheme="majorBidi" w:hAnsiTheme="majorBidi" w:cstheme="majorBidi"/>
          <w:sz w:val="24"/>
          <w:szCs w:val="24"/>
        </w:rPr>
        <w:t xml:space="preserve">protection </w:t>
      </w:r>
      <w:r w:rsidRPr="002A0836">
        <w:rPr>
          <w:rFonts w:asciiTheme="majorBidi" w:hAnsiTheme="majorBidi" w:cstheme="majorBidi"/>
          <w:sz w:val="24"/>
          <w:szCs w:val="24"/>
        </w:rPr>
        <w:t>of the genetic resources of the olive tree becomes fundamental not only for the cultivated olive tree but also in its wild form.</w:t>
      </w:r>
      <w:r>
        <w:rPr>
          <w:rFonts w:asciiTheme="majorBidi" w:hAnsiTheme="majorBidi" w:cstheme="majorBidi"/>
          <w:sz w:val="24"/>
          <w:szCs w:val="24"/>
        </w:rPr>
        <w:t xml:space="preserve"> </w:t>
      </w:r>
      <w:r w:rsidRPr="002A0836">
        <w:rPr>
          <w:rFonts w:asciiTheme="majorBidi" w:hAnsiTheme="majorBidi" w:cstheme="majorBidi"/>
          <w:sz w:val="24"/>
          <w:szCs w:val="24"/>
        </w:rPr>
        <w:t>Wild olive</w:t>
      </w:r>
      <w:r>
        <w:rPr>
          <w:rFonts w:asciiTheme="majorBidi" w:hAnsiTheme="majorBidi" w:cstheme="majorBidi"/>
          <w:sz w:val="24"/>
          <w:szCs w:val="24"/>
        </w:rPr>
        <w:t xml:space="preserve"> </w:t>
      </w:r>
      <w:r w:rsidRPr="003870C9">
        <w:rPr>
          <w:rFonts w:asciiTheme="majorBidi" w:hAnsiTheme="majorBidi" w:cstheme="majorBidi"/>
          <w:sz w:val="24"/>
          <w:szCs w:val="24"/>
        </w:rPr>
        <w:t>(</w:t>
      </w:r>
      <w:r w:rsidRPr="003870C9">
        <w:rPr>
          <w:rFonts w:asciiTheme="majorBidi" w:hAnsiTheme="majorBidi" w:cstheme="majorBidi"/>
          <w:i/>
          <w:iCs/>
          <w:sz w:val="24"/>
          <w:szCs w:val="24"/>
        </w:rPr>
        <w:t>Olea europaea</w:t>
      </w:r>
      <w:r w:rsidRPr="003870C9">
        <w:rPr>
          <w:rFonts w:asciiTheme="majorBidi" w:hAnsiTheme="majorBidi" w:cstheme="majorBidi"/>
          <w:sz w:val="24"/>
          <w:szCs w:val="24"/>
        </w:rPr>
        <w:t xml:space="preserve"> subsp. </w:t>
      </w:r>
      <w:r w:rsidRPr="003870C9">
        <w:rPr>
          <w:rFonts w:asciiTheme="majorBidi" w:hAnsiTheme="majorBidi" w:cstheme="majorBidi"/>
          <w:i/>
          <w:iCs/>
          <w:sz w:val="24"/>
          <w:szCs w:val="24"/>
        </w:rPr>
        <w:t>europaea</w:t>
      </w:r>
      <w:r w:rsidRPr="003870C9">
        <w:rPr>
          <w:rFonts w:asciiTheme="majorBidi" w:hAnsiTheme="majorBidi" w:cstheme="majorBidi"/>
          <w:sz w:val="24"/>
          <w:szCs w:val="24"/>
        </w:rPr>
        <w:t xml:space="preserve"> var. </w:t>
      </w:r>
      <w:r w:rsidRPr="003870C9">
        <w:rPr>
          <w:rFonts w:asciiTheme="majorBidi" w:hAnsiTheme="majorBidi" w:cstheme="majorBidi"/>
          <w:i/>
          <w:iCs/>
          <w:sz w:val="24"/>
          <w:szCs w:val="24"/>
        </w:rPr>
        <w:t>sylvestris</w:t>
      </w:r>
      <w:r w:rsidRPr="003870C9">
        <w:rPr>
          <w:rFonts w:asciiTheme="majorBidi" w:hAnsiTheme="majorBidi" w:cstheme="majorBidi"/>
          <w:sz w:val="24"/>
          <w:szCs w:val="24"/>
        </w:rPr>
        <w:t>)</w:t>
      </w:r>
      <w:r w:rsidRPr="002A0836">
        <w:rPr>
          <w:rFonts w:asciiTheme="majorBidi" w:hAnsiTheme="majorBidi" w:cstheme="majorBidi"/>
          <w:sz w:val="24"/>
          <w:szCs w:val="24"/>
        </w:rPr>
        <w:t xml:space="preserve"> represents a valuable genetic resource on the one hand, for the breeding programs of cultivated olive</w:t>
      </w:r>
      <w:r>
        <w:rPr>
          <w:rFonts w:asciiTheme="majorBidi" w:hAnsiTheme="majorBidi" w:cstheme="majorBidi"/>
          <w:sz w:val="24"/>
          <w:szCs w:val="24"/>
        </w:rPr>
        <w:t xml:space="preserve"> </w:t>
      </w:r>
      <w:r w:rsidRPr="002A0836">
        <w:rPr>
          <w:rFonts w:asciiTheme="majorBidi" w:hAnsiTheme="majorBidi" w:cstheme="majorBidi"/>
          <w:sz w:val="24"/>
          <w:szCs w:val="24"/>
        </w:rPr>
        <w:t>and on the other hand, for the conservation of biological diversity in natural environments</w:t>
      </w:r>
      <w:r>
        <w:rPr>
          <w:rFonts w:asciiTheme="majorBidi" w:hAnsiTheme="majorBidi" w:cstheme="majorBidi"/>
          <w:sz w:val="24"/>
          <w:szCs w:val="24"/>
        </w:rPr>
        <w:t>. In this study,</w:t>
      </w:r>
      <w:r w:rsidRPr="006018E9">
        <w:rPr>
          <w:rFonts w:asciiTheme="majorBidi" w:hAnsiTheme="majorBidi" w:cstheme="majorBidi"/>
          <w:sz w:val="24"/>
          <w:szCs w:val="24"/>
        </w:rPr>
        <w:t xml:space="preserve"> a large number of wild olives (174) were collected along an altitudinal gradient </w:t>
      </w:r>
      <w:r>
        <w:rPr>
          <w:rFonts w:asciiTheme="majorBidi" w:hAnsiTheme="majorBidi" w:cstheme="majorBidi"/>
          <w:sz w:val="24"/>
          <w:szCs w:val="24"/>
        </w:rPr>
        <w:t xml:space="preserve">climatic </w:t>
      </w:r>
      <w:r w:rsidRPr="006018E9">
        <w:rPr>
          <w:rFonts w:asciiTheme="majorBidi" w:hAnsiTheme="majorBidi" w:cstheme="majorBidi"/>
          <w:sz w:val="24"/>
          <w:szCs w:val="24"/>
        </w:rPr>
        <w:t xml:space="preserve">from Western to East Algeria. </w:t>
      </w:r>
      <w:r w:rsidRPr="00B57AA9">
        <w:rPr>
          <w:rFonts w:asciiTheme="majorBidi" w:hAnsiTheme="majorBidi" w:cstheme="majorBidi"/>
          <w:sz w:val="24"/>
          <w:szCs w:val="24"/>
        </w:rPr>
        <w:t>Sixt</w:t>
      </w:r>
      <w:r>
        <w:rPr>
          <w:rFonts w:asciiTheme="majorBidi" w:hAnsiTheme="majorBidi" w:cstheme="majorBidi"/>
          <w:sz w:val="24"/>
          <w:szCs w:val="24"/>
        </w:rPr>
        <w:t xml:space="preserve">een SSRs markers were selected. </w:t>
      </w:r>
      <w:r w:rsidRPr="00B57AA9">
        <w:rPr>
          <w:rFonts w:asciiTheme="majorBidi" w:hAnsiTheme="majorBidi" w:cstheme="majorBidi"/>
          <w:sz w:val="24"/>
          <w:szCs w:val="24"/>
        </w:rPr>
        <w:t>Se</w:t>
      </w:r>
      <w:bookmarkStart w:id="0" w:name="_GoBack"/>
      <w:bookmarkEnd w:id="0"/>
      <w:r w:rsidRPr="00B57AA9">
        <w:rPr>
          <w:rFonts w:asciiTheme="majorBidi" w:hAnsiTheme="majorBidi" w:cstheme="majorBidi"/>
          <w:sz w:val="24"/>
          <w:szCs w:val="24"/>
        </w:rPr>
        <w:t>veral readings and verifications of microsatellite data before establishing the genetic database. The polymorphic results of 16 SSRs were evaluated through the values of the genetic diversity indices. The total number of alleles equal to 173, the largest number of alleles equal to 22 detected with DCA 16 followed by UDO 43 and UDO 28. The best discriminating power values are recorded with DCA04 followed by DCA 16 and UDO43. The best PIC values are obtain</w:t>
      </w:r>
      <w:r>
        <w:rPr>
          <w:rFonts w:asciiTheme="majorBidi" w:hAnsiTheme="majorBidi" w:cstheme="majorBidi"/>
          <w:sz w:val="24"/>
          <w:szCs w:val="24"/>
        </w:rPr>
        <w:t xml:space="preserve">ed with DCA16, UDO43 and UDO28. </w:t>
      </w:r>
      <w:r w:rsidRPr="00B57AA9">
        <w:rPr>
          <w:rFonts w:asciiTheme="majorBidi" w:hAnsiTheme="majorBidi" w:cstheme="majorBidi"/>
          <w:sz w:val="24"/>
          <w:szCs w:val="24"/>
        </w:rPr>
        <w:t xml:space="preserve">Distribution of state-shared identity alleles (IBS) between genotypes were determined by 22.088 unbound </w:t>
      </w:r>
      <w:proofErr w:type="gramStart"/>
      <w:r w:rsidRPr="00B57AA9">
        <w:rPr>
          <w:rFonts w:asciiTheme="majorBidi" w:hAnsiTheme="majorBidi" w:cstheme="majorBidi"/>
          <w:sz w:val="24"/>
          <w:szCs w:val="24"/>
        </w:rPr>
        <w:t>nucleotide</w:t>
      </w:r>
      <w:proofErr w:type="gramEnd"/>
      <w:r w:rsidRPr="00B57AA9">
        <w:rPr>
          <w:rFonts w:asciiTheme="majorBidi" w:hAnsiTheme="majorBidi" w:cstheme="majorBidi"/>
          <w:sz w:val="24"/>
          <w:szCs w:val="24"/>
        </w:rPr>
        <w:t xml:space="preserve"> polymorphisms. Genetic relationships have been demonstrated through PCA. Genetic structure by the Bayesian group revealed K=2, the first genetic pool (Gp1) includes 78 genotypes collected in the northwest of the country. Second genetic pool (Gp2) contains 86 genotypes mainly collected in Northeast Algeria. For K= 3, Gp2 revealed Gp2.1 of the northeast coast genotypes and Gp2.2 includes the genotypes of the interior mountainous regions. AMOVA revealed most of the molecular variance within the population (85%) and only 12 and 3% respectively, between groups and within groups.</w:t>
      </w:r>
      <w:r>
        <w:rPr>
          <w:rFonts w:asciiTheme="majorBidi" w:hAnsiTheme="majorBidi" w:cstheme="majorBidi"/>
          <w:sz w:val="24"/>
          <w:szCs w:val="24"/>
        </w:rPr>
        <w:t xml:space="preserve"> </w:t>
      </w:r>
      <w:r w:rsidRPr="00B57AA9">
        <w:rPr>
          <w:rFonts w:asciiTheme="majorBidi" w:hAnsiTheme="majorBidi" w:cstheme="majorBidi"/>
          <w:sz w:val="24"/>
          <w:szCs w:val="24"/>
        </w:rPr>
        <w:t>Indeed, the geographical origin and the type of climate are the main factors determining the population structure of the local oleaster. Samples from an area characterized by higher temperatures and low precipitation are a good source of genes for tolerance to harsh climatic conditions, thus becoming crucial in addressing future challenges posed by climate change. A deeper understanding of the genetic basis of resistance in the genetic material of the wild olive tree could improve the performance of cultivars through the implementation of olive breeding programs.</w:t>
      </w:r>
    </w:p>
    <w:p w:rsidR="00A56AD1" w:rsidRPr="00B57AA9" w:rsidRDefault="00A56AD1" w:rsidP="00A56AD1">
      <w:pPr>
        <w:jc w:val="both"/>
        <w:rPr>
          <w:rFonts w:asciiTheme="majorBidi" w:hAnsiTheme="majorBidi" w:cstheme="majorBidi"/>
          <w:sz w:val="24"/>
          <w:szCs w:val="24"/>
        </w:rPr>
      </w:pPr>
      <w:r w:rsidRPr="00B57AA9">
        <w:rPr>
          <w:rFonts w:asciiTheme="majorBidi" w:hAnsiTheme="majorBidi" w:cstheme="majorBidi"/>
          <w:b/>
          <w:bCs/>
          <w:sz w:val="24"/>
          <w:szCs w:val="24"/>
        </w:rPr>
        <w:t xml:space="preserve">Key Word: </w:t>
      </w:r>
      <w:r w:rsidRPr="00B57AA9">
        <w:rPr>
          <w:rFonts w:asciiTheme="majorBidi" w:hAnsiTheme="majorBidi" w:cstheme="majorBidi"/>
          <w:sz w:val="24"/>
          <w:szCs w:val="24"/>
        </w:rPr>
        <w:t>Wild olive, Diversity, Genetic, microsatellite, Structure, Algeria</w:t>
      </w:r>
    </w:p>
    <w:p w:rsidR="00A56AD1" w:rsidRDefault="00A56AD1" w:rsidP="00A56AD1">
      <w:pPr>
        <w:ind w:firstLine="708"/>
        <w:jc w:val="both"/>
        <w:rPr>
          <w:rFonts w:asciiTheme="majorBidi" w:hAnsiTheme="majorBidi" w:cstheme="majorBidi"/>
        </w:rPr>
      </w:pPr>
    </w:p>
    <w:p w:rsidR="00ED1EB1" w:rsidRDefault="00ED1EB1"/>
    <w:sectPr w:rsidR="00ED1EB1" w:rsidSect="003F70F4">
      <w:headerReference w:type="default" r:id="rId11"/>
      <w:footerReference w:type="default" r:id="rId12"/>
      <w:pgSz w:w="11906" w:h="16838"/>
      <w:pgMar w:top="1417" w:right="1417" w:bottom="1417" w:left="1417" w:header="708" w:footer="708" w:gutter="0"/>
      <w:pgNumType w:fmt="lowerRoman"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2B2F09">
      <w:pPr>
        <w:spacing w:after="0" w:line="240" w:lineRule="auto"/>
      </w:pPr>
      <w:r>
        <w:separator/>
      </w:r>
    </w:p>
  </w:endnote>
  <w:endnote w:type="continuationSeparator" w:id="0">
    <w:p w:rsidR="00000000" w:rsidRDefault="002B2F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70F4" w:rsidRPr="003F70F4" w:rsidRDefault="002B2F09" w:rsidP="00E415A2">
    <w:pPr>
      <w:pStyle w:val="Pieddepage"/>
      <w:jc w:val="center"/>
      <w:rPr>
        <w:rFonts w:asciiTheme="majorBidi" w:hAnsiTheme="majorBidi" w:cstheme="majorBidi"/>
        <w:sz w:val="24"/>
        <w:szCs w:val="24"/>
      </w:rPr>
    </w:pPr>
  </w:p>
  <w:p w:rsidR="003F70F4" w:rsidRDefault="002B2F09">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2B2F09">
      <w:pPr>
        <w:spacing w:after="0" w:line="240" w:lineRule="auto"/>
      </w:pPr>
      <w:r>
        <w:separator/>
      </w:r>
    </w:p>
  </w:footnote>
  <w:footnote w:type="continuationSeparator" w:id="0">
    <w:p w:rsidR="00000000" w:rsidRDefault="002B2F0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4EEA" w:rsidRPr="00074EEA" w:rsidRDefault="002B2F09" w:rsidP="00074EEA">
    <w:pPr>
      <w:pStyle w:val="En-tte"/>
      <w:jc w:val="center"/>
      <w:rPr>
        <w:rFonts w:asciiTheme="majorBidi" w:hAnsiTheme="majorBidi" w:cstheme="majorBidi"/>
        <w:b/>
        <w:bCs/>
        <w:i/>
        <w:iCs/>
        <w:sz w:val="28"/>
        <w:szCs w:val="28"/>
        <w:lang w:val="fr-FR"/>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6AD1"/>
    <w:rsid w:val="0000145B"/>
    <w:rsid w:val="000E6FB3"/>
    <w:rsid w:val="001300EF"/>
    <w:rsid w:val="00160A7B"/>
    <w:rsid w:val="002B2F09"/>
    <w:rsid w:val="002E666D"/>
    <w:rsid w:val="003750FB"/>
    <w:rsid w:val="004143DC"/>
    <w:rsid w:val="004A63FA"/>
    <w:rsid w:val="007217B0"/>
    <w:rsid w:val="007B46A9"/>
    <w:rsid w:val="007D440A"/>
    <w:rsid w:val="009B2DD2"/>
    <w:rsid w:val="00A56AD1"/>
    <w:rsid w:val="00AE399A"/>
    <w:rsid w:val="00B0502E"/>
    <w:rsid w:val="00BB67F5"/>
    <w:rsid w:val="00C47E58"/>
    <w:rsid w:val="00CA4526"/>
    <w:rsid w:val="00D46A43"/>
    <w:rsid w:val="00ED1EB1"/>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6AD1"/>
    <w:rPr>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A56AD1"/>
    <w:pPr>
      <w:tabs>
        <w:tab w:val="center" w:pos="4536"/>
        <w:tab w:val="right" w:pos="9072"/>
      </w:tabs>
      <w:spacing w:after="0" w:line="240" w:lineRule="auto"/>
    </w:pPr>
  </w:style>
  <w:style w:type="character" w:customStyle="1" w:styleId="En-tteCar">
    <w:name w:val="En-tête Car"/>
    <w:basedOn w:val="Policepardfaut"/>
    <w:link w:val="En-tte"/>
    <w:uiPriority w:val="99"/>
    <w:rsid w:val="00A56AD1"/>
    <w:rPr>
      <w:lang w:val="en-US"/>
    </w:rPr>
  </w:style>
  <w:style w:type="paragraph" w:styleId="Pieddepage">
    <w:name w:val="footer"/>
    <w:basedOn w:val="Normal"/>
    <w:link w:val="PieddepageCar"/>
    <w:uiPriority w:val="99"/>
    <w:unhideWhenUsed/>
    <w:rsid w:val="00A56AD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56AD1"/>
    <w:rPr>
      <w:lang w:val="en-US"/>
    </w:rPr>
  </w:style>
  <w:style w:type="character" w:styleId="Lienhypertexte">
    <w:name w:val="Hyperlink"/>
    <w:basedOn w:val="Policepardfaut"/>
    <w:uiPriority w:val="99"/>
    <w:unhideWhenUsed/>
    <w:rsid w:val="00A56AD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6AD1"/>
    <w:rPr>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A56AD1"/>
    <w:pPr>
      <w:tabs>
        <w:tab w:val="center" w:pos="4536"/>
        <w:tab w:val="right" w:pos="9072"/>
      </w:tabs>
      <w:spacing w:after="0" w:line="240" w:lineRule="auto"/>
    </w:pPr>
  </w:style>
  <w:style w:type="character" w:customStyle="1" w:styleId="En-tteCar">
    <w:name w:val="En-tête Car"/>
    <w:basedOn w:val="Policepardfaut"/>
    <w:link w:val="En-tte"/>
    <w:uiPriority w:val="99"/>
    <w:rsid w:val="00A56AD1"/>
    <w:rPr>
      <w:lang w:val="en-US"/>
    </w:rPr>
  </w:style>
  <w:style w:type="paragraph" w:styleId="Pieddepage">
    <w:name w:val="footer"/>
    <w:basedOn w:val="Normal"/>
    <w:link w:val="PieddepageCar"/>
    <w:uiPriority w:val="99"/>
    <w:unhideWhenUsed/>
    <w:rsid w:val="00A56AD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56AD1"/>
    <w:rPr>
      <w:lang w:val="en-US"/>
    </w:rPr>
  </w:style>
  <w:style w:type="character" w:styleId="Lienhypertexte">
    <w:name w:val="Hyperlink"/>
    <w:basedOn w:val="Policepardfaut"/>
    <w:uiPriority w:val="99"/>
    <w:unhideWhenUsed/>
    <w:rsid w:val="00A56AD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khelifi@yahoo.fr"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wfalek@ymail.com" TargetMode="External"/><Relationship Id="rId12"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montemurro@uniba.it" TargetMode="External"/><Relationship Id="rId4" Type="http://schemas.openxmlformats.org/officeDocument/2006/relationships/webSettings" Target="webSettings.xml"/><Relationship Id="rId9" Type="http://schemas.openxmlformats.org/officeDocument/2006/relationships/hyperlink" Target="mailto:monicamarilena.miazzi@uniba.it"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488</Words>
  <Characters>2684</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3166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cp:revision>
  <dcterms:created xsi:type="dcterms:W3CDTF">2022-03-18T14:39:00Z</dcterms:created>
  <dcterms:modified xsi:type="dcterms:W3CDTF">2022-03-18T14:44:00Z</dcterms:modified>
</cp:coreProperties>
</file>