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E" w:rsidRPr="00323D7E" w:rsidRDefault="00323D7E" w:rsidP="00323D7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bookmarkStart w:id="0" w:name="OLE_LINK1"/>
      <w:bookmarkStart w:id="1" w:name="OLE_LINK2"/>
      <w:bookmarkStart w:id="2" w:name="_Hlk512739404"/>
      <w:r w:rsidRPr="00323D7E">
        <w:rPr>
          <w:rFonts w:ascii="Times New Roman" w:hAnsi="Times New Roman"/>
          <w:b/>
          <w:color w:val="000000"/>
          <w:sz w:val="26"/>
          <w:szCs w:val="26"/>
        </w:rPr>
        <w:t xml:space="preserve">Treatment of coronary heart disease and angina pectoris through the systems pharmacology investigation level in the mechanisms of (TCM) with the </w:t>
      </w:r>
      <w:r w:rsidRPr="00323D7E">
        <w:rPr>
          <w:rFonts w:ascii="Times New Roman" w:hAnsi="Times New Roman"/>
          <w:b/>
          <w:noProof/>
          <w:color w:val="000000"/>
          <w:sz w:val="26"/>
          <w:szCs w:val="26"/>
        </w:rPr>
        <w:t>guanxin</w:t>
      </w:r>
      <w:r w:rsidRPr="00323D7E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323D7E">
        <w:rPr>
          <w:rFonts w:ascii="Times New Roman" w:hAnsi="Times New Roman"/>
          <w:b/>
          <w:noProof/>
          <w:color w:val="000000"/>
          <w:sz w:val="26"/>
          <w:szCs w:val="26"/>
        </w:rPr>
        <w:t>shutong</w:t>
      </w:r>
      <w:r w:rsidRPr="00323D7E">
        <w:rPr>
          <w:rFonts w:ascii="Times New Roman" w:hAnsi="Times New Roman"/>
          <w:b/>
          <w:color w:val="000000"/>
          <w:sz w:val="26"/>
          <w:szCs w:val="26"/>
        </w:rPr>
        <w:t xml:space="preserve"> capsule formula</w:t>
      </w:r>
    </w:p>
    <w:p w:rsidR="00323D7E" w:rsidRDefault="00323D7E" w:rsidP="00323D7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bookmarkEnd w:id="0"/>
    <w:bookmarkEnd w:id="1"/>
    <w:bookmarkEnd w:id="2"/>
    <w:p w:rsidR="00323D7E" w:rsidRPr="00323D7E" w:rsidRDefault="00323D7E" w:rsidP="00323D7E">
      <w:pPr>
        <w:spacing w:after="0" w:line="240" w:lineRule="auto"/>
        <w:rPr>
          <w:bCs/>
          <w:color w:val="000000"/>
        </w:rPr>
      </w:pPr>
      <w:r w:rsidRPr="0051115B">
        <w:rPr>
          <w:bCs/>
          <w:noProof/>
          <w:color w:val="000000"/>
        </w:rPr>
        <w:t>Akhtar Hussain Shar</w:t>
      </w:r>
      <w:r w:rsidRPr="0051115B">
        <w:rPr>
          <w:bCs/>
          <w:noProof/>
          <w:color w:val="000000"/>
          <w:vertAlign w:val="superscript"/>
        </w:rPr>
        <w:t>a,bǂ</w:t>
      </w:r>
      <w:r w:rsidRPr="0051115B">
        <w:rPr>
          <w:bCs/>
          <w:noProof/>
          <w:color w:val="000000"/>
        </w:rPr>
        <w:t>, Jingjing Liu</w:t>
      </w:r>
      <w:r w:rsidRPr="0051115B">
        <w:rPr>
          <w:bCs/>
          <w:noProof/>
          <w:color w:val="000000"/>
          <w:vertAlign w:val="superscript"/>
        </w:rPr>
        <w:t>a,b,f</w:t>
      </w:r>
      <w:r w:rsidRPr="0051115B">
        <w:rPr>
          <w:bCs/>
          <w:noProof/>
          <w:color w:val="000000"/>
        </w:rPr>
        <w:t xml:space="preserve">, Mohamed </w:t>
      </w:r>
      <w:r w:rsidRPr="0051115B">
        <w:rPr>
          <w:bCs/>
          <w:noProof/>
          <w:color w:val="000000"/>
          <w:lang w:val="en-US" w:eastAsia="en-US"/>
        </w:rPr>
        <w:t>Shahen</w:t>
      </w:r>
      <w:r w:rsidRPr="0051115B">
        <w:rPr>
          <w:bCs/>
          <w:noProof/>
          <w:color w:val="000000"/>
          <w:vertAlign w:val="superscript"/>
        </w:rPr>
        <w:t>a,b,cǂ</w:t>
      </w:r>
      <w:r w:rsidRPr="0051115B">
        <w:rPr>
          <w:bCs/>
          <w:noProof/>
          <w:color w:val="000000"/>
        </w:rPr>
        <w:t>, Fengxia Shen</w:t>
      </w:r>
      <w:r w:rsidRPr="0051115B">
        <w:rPr>
          <w:bCs/>
          <w:noProof/>
          <w:color w:val="000000"/>
          <w:vertAlign w:val="superscript"/>
        </w:rPr>
        <w:t>a,b,f</w:t>
      </w:r>
      <w:r w:rsidRPr="0051115B">
        <w:rPr>
          <w:b/>
          <w:noProof/>
          <w:color w:val="000000"/>
        </w:rPr>
        <w:t xml:space="preserve">, </w:t>
      </w:r>
      <w:r w:rsidRPr="0051115B">
        <w:rPr>
          <w:noProof/>
          <w:color w:val="000000"/>
        </w:rPr>
        <w:t>Shuangxin Ma</w:t>
      </w:r>
      <w:r w:rsidRPr="0051115B">
        <w:rPr>
          <w:bCs/>
          <w:noProof/>
          <w:color w:val="000000"/>
          <w:vertAlign w:val="superscript"/>
        </w:rPr>
        <w:t>a,b</w:t>
      </w:r>
      <w:r w:rsidRPr="0051115B">
        <w:rPr>
          <w:noProof/>
          <w:color w:val="000000"/>
        </w:rPr>
        <w:t>, Shahmir Ali Kalhoro</w:t>
      </w:r>
      <w:r w:rsidRPr="0051115B">
        <w:rPr>
          <w:bCs/>
          <w:noProof/>
          <w:color w:val="000000"/>
          <w:vertAlign w:val="superscript"/>
        </w:rPr>
        <w:t>e</w:t>
      </w:r>
      <w:r w:rsidRPr="0051115B">
        <w:rPr>
          <w:noProof/>
          <w:color w:val="000000"/>
        </w:rPr>
        <w:t>, Muhamm</w:t>
      </w:r>
      <w:bookmarkStart w:id="3" w:name="_GoBack"/>
      <w:bookmarkEnd w:id="3"/>
      <w:r w:rsidRPr="0051115B">
        <w:rPr>
          <w:noProof/>
          <w:color w:val="000000"/>
        </w:rPr>
        <w:t>ad Rashid</w:t>
      </w:r>
      <w:r w:rsidRPr="0051115B">
        <w:rPr>
          <w:bCs/>
          <w:noProof/>
          <w:color w:val="000000"/>
          <w:vertAlign w:val="superscript"/>
        </w:rPr>
        <w:t>e</w:t>
      </w:r>
      <w:r w:rsidRPr="0051115B">
        <w:rPr>
          <w:noProof/>
          <w:color w:val="000000"/>
        </w:rPr>
        <w:t>, Siddiq Ur Rahman</w:t>
      </w:r>
      <w:r w:rsidRPr="0051115B">
        <w:rPr>
          <w:bCs/>
          <w:noProof/>
          <w:color w:val="000000"/>
          <w:vertAlign w:val="superscript"/>
        </w:rPr>
        <w:t>a,b</w:t>
      </w:r>
      <w:r w:rsidRPr="0051115B">
        <w:rPr>
          <w:noProof/>
          <w:color w:val="000000"/>
        </w:rPr>
        <w:t>, Piar Ali Shar</w:t>
      </w:r>
      <w:r w:rsidRPr="0051115B">
        <w:rPr>
          <w:bCs/>
          <w:noProof/>
          <w:color w:val="000000"/>
          <w:vertAlign w:val="superscript"/>
        </w:rPr>
        <w:t>d</w:t>
      </w:r>
      <w:r w:rsidRPr="0051115B">
        <w:rPr>
          <w:noProof/>
          <w:color w:val="000000"/>
        </w:rPr>
        <w:t>, He Wang</w:t>
      </w:r>
      <w:r w:rsidRPr="0051115B">
        <w:rPr>
          <w:bCs/>
          <w:noProof/>
          <w:color w:val="000000"/>
          <w:vertAlign w:val="superscript"/>
        </w:rPr>
        <w:t>a,b</w:t>
      </w:r>
      <w:r w:rsidRPr="0051115B">
        <w:rPr>
          <w:noProof/>
          <w:color w:val="000000"/>
        </w:rPr>
        <w:t>, Tiantian Wu</w:t>
      </w:r>
      <w:r w:rsidRPr="0051115B">
        <w:rPr>
          <w:bCs/>
          <w:noProof/>
          <w:color w:val="000000"/>
          <w:vertAlign w:val="superscript"/>
        </w:rPr>
        <w:t>a,b</w:t>
      </w:r>
      <w:r w:rsidRPr="0051115B">
        <w:rPr>
          <w:noProof/>
          <w:color w:val="000000"/>
        </w:rPr>
        <w:t xml:space="preserve">, and </w:t>
      </w:r>
      <w:r w:rsidRPr="0051115B">
        <w:rPr>
          <w:bCs/>
          <w:noProof/>
          <w:color w:val="000000"/>
        </w:rPr>
        <w:t>Yonghua Wang</w:t>
      </w:r>
      <w:r w:rsidRPr="0051115B">
        <w:rPr>
          <w:bCs/>
          <w:noProof/>
          <w:color w:val="000000"/>
          <w:vertAlign w:val="superscript"/>
        </w:rPr>
        <w:t xml:space="preserve"> a,b,*</w:t>
      </w:r>
      <w:r w:rsidRPr="00B71C69">
        <w:rPr>
          <w:bCs/>
          <w:color w:val="000000"/>
          <w:vertAlign w:val="superscript"/>
        </w:rPr>
        <w:t xml:space="preserve"> </w:t>
      </w:r>
      <w:r>
        <w:rPr>
          <w:bCs/>
          <w:color w:val="000000"/>
        </w:rPr>
        <w:t xml:space="preserve"> </w:t>
      </w:r>
    </w:p>
    <w:p w:rsidR="00323D7E" w:rsidRDefault="00323D7E" w:rsidP="00323D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323D7E" w:rsidRPr="00323D7E" w:rsidRDefault="00323D7E" w:rsidP="00323D7E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323D7E">
        <w:rPr>
          <w:rFonts w:ascii="Times New Roman" w:eastAsia="Calibri" w:hAnsi="Times New Roman"/>
          <w:b/>
          <w:color w:val="000000"/>
          <w:sz w:val="24"/>
          <w:szCs w:val="24"/>
        </w:rPr>
        <w:t>ABSTRACT</w:t>
      </w:r>
    </w:p>
    <w:p w:rsidR="00323D7E" w:rsidRPr="00521B57" w:rsidRDefault="00323D7E" w:rsidP="00323D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323D7E" w:rsidRDefault="00323D7E" w:rsidP="00323D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36C08">
        <w:rPr>
          <w:rFonts w:ascii="Times New Roman" w:eastAsia="Calibri" w:hAnsi="Times New Roman"/>
          <w:color w:val="000000"/>
          <w:sz w:val="24"/>
          <w:szCs w:val="24"/>
        </w:rPr>
        <w:t>Coronary heart disease and angina pectoris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are leading causes of death in the world, due to lack of awareness and other problems. Traditional Chin</w:t>
      </w:r>
      <w:r>
        <w:rPr>
          <w:rFonts w:ascii="Times New Roman" w:hAnsi="Times New Roman"/>
          <w:color w:val="000000"/>
          <w:sz w:val="24"/>
          <w:szCs w:val="24"/>
        </w:rPr>
        <w:t>e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se medicine (TCM)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guanxin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shutong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capsule formula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is used to prevent treatment of 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>coronary heart disease and angina pectoris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, which has attracted extensive attention for its moderate and little side effects. However, </w:t>
      </w:r>
      <w:r w:rsidRPr="006801BD">
        <w:rPr>
          <w:rFonts w:ascii="Times New Roman" w:hAnsi="Times New Roman"/>
          <w:color w:val="000000"/>
          <w:sz w:val="24"/>
          <w:szCs w:val="24"/>
          <w:highlight w:val="yellow"/>
        </w:rPr>
        <w:t>TCM</w:t>
      </w:r>
      <w:r w:rsidRPr="004179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involved </w:t>
      </w:r>
      <w:r w:rsidRPr="006801BD">
        <w:rPr>
          <w:rFonts w:ascii="Times New Roman" w:hAnsi="Times New Roman"/>
          <w:noProof/>
          <w:color w:val="000000"/>
          <w:sz w:val="24"/>
          <w:szCs w:val="24"/>
          <w:highlight w:val="yellow"/>
        </w:rPr>
        <w:t>in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molecular mechanisms are exceedingly complicated and remain unclear. The systems pharmacology as a novel approach </w:t>
      </w:r>
      <w:r w:rsidRPr="00A36C08">
        <w:rPr>
          <w:rFonts w:ascii="Times New Roman" w:hAnsi="Times New Roman"/>
          <w:noProof/>
          <w:color w:val="000000"/>
          <w:sz w:val="24"/>
          <w:szCs w:val="24"/>
        </w:rPr>
        <w:t>aimed at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participates </w:t>
      </w:r>
      <w:r w:rsidRPr="006801BD">
        <w:rPr>
          <w:rFonts w:ascii="Times New Roman" w:hAnsi="Times New Roman"/>
          <w:noProof/>
          <w:color w:val="000000"/>
          <w:sz w:val="24"/>
          <w:szCs w:val="24"/>
          <w:highlight w:val="yellow"/>
        </w:rPr>
        <w:t>in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systems biology and pharmacology</w:t>
      </w:r>
      <w:r w:rsidRPr="00A36C08">
        <w:rPr>
          <w:rFonts w:ascii="Times New Roman" w:hAnsi="Times New Roman"/>
          <w:noProof/>
          <w:color w:val="000000"/>
          <w:sz w:val="24"/>
          <w:szCs w:val="24"/>
        </w:rPr>
        <w:t>; the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pharmacology plays a vital role in investigating the molecular mechanism of TCM. 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The using of this typical method, we have obtained the excellent results and found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many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compounds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from the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guanxin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shutong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capsule formula that is important for coronary heart disease and angina pectoris. We found additional information about chemical compounds and consistent protein targets</w:t>
      </w:r>
      <w:r>
        <w:rPr>
          <w:rFonts w:ascii="Times New Roman" w:eastAsia="Calibri" w:hAnsi="Times New Roman"/>
          <w:color w:val="000000"/>
          <w:sz w:val="24"/>
          <w:szCs w:val="24"/>
        </w:rPr>
        <w:t>.</w:t>
      </w:r>
      <w:r w:rsidRPr="004179C6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</w:rPr>
        <w:t>T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he study of biological databases, such as the relationship of target compounds in the TCM, for </w:t>
      </w:r>
      <w:r w:rsidRPr="006801BD">
        <w:rPr>
          <w:rFonts w:ascii="Times New Roman" w:eastAsia="Calibri" w:hAnsi="Times New Roman"/>
          <w:noProof/>
          <w:color w:val="000000"/>
          <w:sz w:val="24"/>
          <w:szCs w:val="24"/>
          <w:highlight w:val="yellow"/>
        </w:rPr>
        <w:t>instance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,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the pathways of compounds, targeted disease, and targeting </w:t>
      </w:r>
      <w:r w:rsidRPr="006801BD">
        <w:rPr>
          <w:rFonts w:ascii="Times New Roman" w:eastAsia="Calibri" w:hAnsi="Times New Roman"/>
          <w:noProof/>
          <w:color w:val="000000"/>
          <w:sz w:val="24"/>
          <w:szCs w:val="24"/>
          <w:highlight w:val="yellow"/>
        </w:rPr>
        <w:t>cellular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expression networks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. 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The systems pharmacology as a developing field for investigating </w:t>
      </w:r>
      <w:r w:rsidRPr="006801BD">
        <w:rPr>
          <w:rFonts w:ascii="Times New Roman" w:hAnsi="Times New Roman"/>
          <w:color w:val="000000"/>
          <w:sz w:val="24"/>
          <w:szCs w:val="24"/>
          <w:highlight w:val="yellow"/>
        </w:rPr>
        <w:t xml:space="preserve">the </w:t>
      </w:r>
      <w:r w:rsidRPr="006801BD">
        <w:rPr>
          <w:rFonts w:ascii="Times New Roman" w:hAnsi="Times New Roman"/>
          <w:noProof/>
          <w:color w:val="000000"/>
          <w:sz w:val="24"/>
          <w:szCs w:val="24"/>
          <w:highlight w:val="yellow"/>
        </w:rPr>
        <w:t>concentration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of the molecular mechanisms through the pharmacological evaluation target </w:t>
      </w:r>
      <w:r w:rsidRPr="00A36C08">
        <w:rPr>
          <w:rFonts w:ascii="Times New Roman" w:hAnsi="Times New Roman"/>
          <w:noProof/>
          <w:color w:val="000000"/>
          <w:sz w:val="24"/>
          <w:szCs w:val="24"/>
        </w:rPr>
        <w:t>prediction,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and pathway analysis. </w:t>
      </w:r>
      <w:r w:rsidRPr="006801BD">
        <w:rPr>
          <w:rFonts w:ascii="Times New Roman" w:eastAsia="Calibri" w:hAnsi="Times New Roman"/>
          <w:noProof/>
          <w:color w:val="000000"/>
          <w:sz w:val="24"/>
          <w:szCs w:val="24"/>
          <w:highlight w:val="yellow"/>
        </w:rPr>
        <w:t>In addition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to providing a better understanding of the mechanism of action of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guanxin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shutong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capsule formula, this project's strategy is to improve the level of pharmacology in Chinese traditional medicine.</w:t>
      </w:r>
    </w:p>
    <w:p w:rsidR="00323D7E" w:rsidRPr="00A36C08" w:rsidRDefault="00323D7E" w:rsidP="00323D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323D7E" w:rsidRPr="004179C6" w:rsidRDefault="00323D7E" w:rsidP="00323D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A36C08">
        <w:rPr>
          <w:rFonts w:ascii="Times New Roman" w:eastAsia="Calibri" w:hAnsi="Times New Roman"/>
          <w:b/>
          <w:i/>
          <w:color w:val="000000"/>
          <w:sz w:val="24"/>
          <w:szCs w:val="24"/>
        </w:rPr>
        <w:t>Keywords: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Coronary heart disease and angina pectoris, </w:t>
      </w:r>
      <w:r w:rsidRPr="00A36C08">
        <w:rPr>
          <w:rFonts w:ascii="Times New Roman" w:hAnsi="Times New Roman"/>
          <w:noProof/>
          <w:color w:val="000000"/>
          <w:sz w:val="24"/>
          <w:szCs w:val="24"/>
        </w:rPr>
        <w:t>guanxin</w:t>
      </w:r>
      <w:r w:rsidRPr="00A36C0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36C08">
        <w:rPr>
          <w:rFonts w:ascii="Times New Roman" w:eastAsia="Calibri" w:hAnsi="Times New Roman"/>
          <w:noProof/>
          <w:color w:val="000000"/>
          <w:sz w:val="24"/>
          <w:szCs w:val="24"/>
        </w:rPr>
        <w:t>shutong</w:t>
      </w:r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 capsule formula, target </w:t>
      </w:r>
      <w:proofErr w:type="gramStart"/>
      <w:r w:rsidRPr="00A36C08">
        <w:rPr>
          <w:rFonts w:ascii="Times New Roman" w:eastAsia="Calibri" w:hAnsi="Times New Roman"/>
          <w:color w:val="000000"/>
          <w:sz w:val="24"/>
          <w:szCs w:val="24"/>
        </w:rPr>
        <w:t>compounds</w:t>
      </w:r>
      <w:proofErr w:type="gramEnd"/>
      <w:r w:rsidRPr="00A36C08">
        <w:rPr>
          <w:rFonts w:ascii="Times New Roman" w:eastAsia="Calibri" w:hAnsi="Times New Roman"/>
          <w:color w:val="000000"/>
          <w:sz w:val="24"/>
          <w:szCs w:val="24"/>
        </w:rPr>
        <w:t xml:space="preserve">, Chinese traditional medicine, pharmacology, </w:t>
      </w:r>
      <w:r w:rsidRPr="00A36C08">
        <w:rPr>
          <w:rFonts w:ascii="Times New Roman" w:hAnsi="Times New Roman"/>
          <w:color w:val="000000"/>
          <w:sz w:val="24"/>
          <w:szCs w:val="24"/>
        </w:rPr>
        <w:t>molecular mechanisms</w:t>
      </w:r>
    </w:p>
    <w:p w:rsidR="00753CBE" w:rsidRDefault="00753CBE" w:rsidP="00323D7E">
      <w:pPr>
        <w:spacing w:after="0" w:line="240" w:lineRule="auto"/>
      </w:pPr>
    </w:p>
    <w:sectPr w:rsidR="00753C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7E"/>
    <w:rsid w:val="00323D7E"/>
    <w:rsid w:val="0075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CB197A-2812-44E4-9E95-22C5B1C1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D7E"/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Akhtar Hussain</dc:creator>
  <cp:keywords/>
  <dc:description/>
  <cp:lastModifiedBy>Dr. Akhtar Hussain</cp:lastModifiedBy>
  <cp:revision>1</cp:revision>
  <dcterms:created xsi:type="dcterms:W3CDTF">2020-02-20T09:33:00Z</dcterms:created>
  <dcterms:modified xsi:type="dcterms:W3CDTF">2020-02-20T09:35:00Z</dcterms:modified>
</cp:coreProperties>
</file>