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DB08E" w14:textId="77777777" w:rsidR="00E847CA" w:rsidRPr="00E847CA" w:rsidRDefault="00E847CA" w:rsidP="009F1183">
      <w:pPr>
        <w:spacing w:after="120"/>
        <w:rPr>
          <w:b/>
          <w:color w:val="000000"/>
          <w:u w:val="single"/>
        </w:rPr>
      </w:pPr>
      <w:r w:rsidRPr="00E847CA">
        <w:rPr>
          <w:b/>
          <w:color w:val="000000"/>
          <w:u w:val="single"/>
        </w:rPr>
        <w:t>Abstract</w:t>
      </w:r>
    </w:p>
    <w:p w14:paraId="208897A1" w14:textId="2EE01B22" w:rsidR="006007FE" w:rsidRDefault="006007FE" w:rsidP="009F1183">
      <w:pPr>
        <w:spacing w:after="120"/>
      </w:pPr>
      <w:r w:rsidRPr="006007FE">
        <w:rPr>
          <w:bCs/>
          <w:color w:val="000000"/>
        </w:rPr>
        <w:t xml:space="preserve">Age-related macular degeneration (AMD) is one of the leading causes of blindness in developed nations. Non-proliferative maculopathy comprises a substantial percentage of total AMD cases and recent advances in detection, diagnosis, </w:t>
      </w:r>
      <w:proofErr w:type="gramStart"/>
      <w:r w:rsidRPr="006007FE">
        <w:rPr>
          <w:bCs/>
          <w:color w:val="000000"/>
        </w:rPr>
        <w:t>treatment</w:t>
      </w:r>
      <w:proofErr w:type="gramEnd"/>
      <w:r w:rsidRPr="006007FE">
        <w:rPr>
          <w:bCs/>
          <w:color w:val="000000"/>
        </w:rPr>
        <w:t xml:space="preserve"> and management have placed a spotlight on the crucial role that optometry must play in primary care healthcare delivery. Evolving techniques allow widespread screening techniques that allow subclinical detection of retinal changes and visual performance that can precede conventional AMD diagnosis by 3-5 years. </w:t>
      </w:r>
      <w:r w:rsidRPr="006007FE">
        <w:t>A review of emerging and existing imaging capabilities paired with more recent developments in disease-specific screening will be presented along with an analysis of current medical and oral supplementation. A detailed discussion of nutraceutical strategies used in atrophic age-related maculopathy will be discussed as well as the developing role of genetic testing as it related to tailored supplementation strategies</w:t>
      </w:r>
      <w:r w:rsidRPr="006007FE">
        <w:t xml:space="preserve">. </w:t>
      </w:r>
    </w:p>
    <w:p w14:paraId="0EE4B6CD" w14:textId="076CFBFF" w:rsidR="006007FE" w:rsidRDefault="006007FE" w:rsidP="009F1183">
      <w:pPr>
        <w:spacing w:after="120"/>
      </w:pPr>
      <w:r w:rsidRPr="006007FE">
        <w:rPr>
          <w:bCs/>
          <w:color w:val="000000"/>
        </w:rPr>
        <w:t>Macular</w:t>
      </w:r>
      <w:r w:rsidRPr="006007FE">
        <w:rPr>
          <w:b/>
          <w:bCs/>
          <w:color w:val="000000"/>
        </w:rPr>
        <w:t xml:space="preserve"> </w:t>
      </w:r>
      <w:r w:rsidRPr="006007FE">
        <w:rPr>
          <w:bCs/>
          <w:color w:val="000000"/>
        </w:rPr>
        <w:t xml:space="preserve">pigment (MP) has been widely studied in the biochemical and physiologic domains for years and emerging research is showing a MP confluence of effects that bridge the areas of cognitive function, optical </w:t>
      </w:r>
      <w:proofErr w:type="gramStart"/>
      <w:r w:rsidRPr="006007FE">
        <w:rPr>
          <w:bCs/>
          <w:color w:val="000000"/>
        </w:rPr>
        <w:t>enhancement</w:t>
      </w:r>
      <w:proofErr w:type="gramEnd"/>
      <w:r w:rsidRPr="006007FE">
        <w:rPr>
          <w:bCs/>
          <w:color w:val="000000"/>
        </w:rPr>
        <w:t xml:space="preserve"> and retinal health. Burgeoning clinical techniques have allowed early detection, </w:t>
      </w:r>
      <w:proofErr w:type="gramStart"/>
      <w:r w:rsidRPr="006007FE">
        <w:rPr>
          <w:bCs/>
          <w:color w:val="000000"/>
        </w:rPr>
        <w:t>treatment</w:t>
      </w:r>
      <w:proofErr w:type="gramEnd"/>
      <w:r w:rsidRPr="006007FE">
        <w:rPr>
          <w:bCs/>
          <w:color w:val="000000"/>
        </w:rPr>
        <w:t xml:space="preserve"> and management of a growing number retinal and central nervous system conditions. Additionally, this course will review aspects of visual function enhancement associated with MP and discuss supplementation strategies that can decrease ocular symptoms related to other vascular, </w:t>
      </w:r>
      <w:proofErr w:type="gramStart"/>
      <w:r w:rsidRPr="006007FE">
        <w:rPr>
          <w:bCs/>
          <w:color w:val="000000"/>
        </w:rPr>
        <w:t>inflammatory</w:t>
      </w:r>
      <w:proofErr w:type="gramEnd"/>
      <w:r w:rsidRPr="006007FE">
        <w:rPr>
          <w:bCs/>
          <w:color w:val="000000"/>
        </w:rPr>
        <w:t xml:space="preserve"> and neurological diagnoses. Clinical case studies and published research projects will be reviewed in the context of current clinical care modalities.         </w:t>
      </w:r>
      <w:r w:rsidRPr="006007FE">
        <w:rPr>
          <w:b/>
          <w:bCs/>
          <w:color w:val="000000"/>
        </w:rPr>
        <w:t xml:space="preserve"> </w:t>
      </w:r>
    </w:p>
    <w:p w14:paraId="7B0C1C8E" w14:textId="77777777" w:rsidR="00541BC1" w:rsidRPr="00541BC1" w:rsidRDefault="00541BC1" w:rsidP="009F1183">
      <w:pPr>
        <w:spacing w:after="120"/>
      </w:pPr>
    </w:p>
    <w:p w14:paraId="4AE5E5B3" w14:textId="77777777" w:rsidR="00E847CA" w:rsidRPr="00541BC1" w:rsidRDefault="00E847CA" w:rsidP="009F1183">
      <w:pPr>
        <w:spacing w:after="120"/>
        <w:rPr>
          <w:b/>
          <w:bCs/>
          <w:u w:val="single"/>
        </w:rPr>
      </w:pPr>
      <w:r w:rsidRPr="00541BC1">
        <w:rPr>
          <w:b/>
          <w:bCs/>
          <w:u w:val="single"/>
        </w:rPr>
        <w:t>Recent Publications</w:t>
      </w:r>
    </w:p>
    <w:p w14:paraId="6A2BFD46" w14:textId="77777777" w:rsidR="00541BC1" w:rsidRPr="00541BC1" w:rsidRDefault="00541BC1" w:rsidP="009F1183">
      <w:pPr>
        <w:spacing w:after="120"/>
      </w:pPr>
      <w:r w:rsidRPr="00541BC1">
        <w:rPr>
          <w:shd w:val="clear" w:color="auto" w:fill="FFFFFF"/>
        </w:rPr>
        <w:t>Putnam, Christopher M. "Clinical imaging of macular pigment optical density and spatial distribution." </w:t>
      </w:r>
      <w:r w:rsidRPr="00541BC1">
        <w:rPr>
          <w:i/>
          <w:iCs/>
          <w:shd w:val="clear" w:color="auto" w:fill="FFFFFF"/>
        </w:rPr>
        <w:t>Clinical and Experimental Optometry</w:t>
      </w:r>
      <w:r w:rsidRPr="00541BC1">
        <w:rPr>
          <w:shd w:val="clear" w:color="auto" w:fill="FFFFFF"/>
        </w:rPr>
        <w:t> 100.4 (2017): 333-340.</w:t>
      </w:r>
      <w:r w:rsidRPr="00541BC1">
        <w:t xml:space="preserve"> </w:t>
      </w:r>
    </w:p>
    <w:p w14:paraId="3BB77098" w14:textId="77777777" w:rsidR="00541BC1" w:rsidRPr="00541BC1" w:rsidRDefault="00541BC1" w:rsidP="009F1183">
      <w:pPr>
        <w:spacing w:after="120"/>
      </w:pPr>
      <w:r w:rsidRPr="00541BC1">
        <w:rPr>
          <w:shd w:val="clear" w:color="auto" w:fill="FFFFFF"/>
        </w:rPr>
        <w:t>Putnam, Christopher M., Pauline J. Bland, and Carl J. Bassi. "Influence of macular pigment optical density spatial distribution on intraocular scatter." </w:t>
      </w:r>
      <w:r w:rsidRPr="00541BC1">
        <w:rPr>
          <w:i/>
          <w:iCs/>
          <w:shd w:val="clear" w:color="auto" w:fill="FFFFFF"/>
        </w:rPr>
        <w:t>Journal of Optometry</w:t>
      </w:r>
      <w:r w:rsidRPr="00541BC1">
        <w:rPr>
          <w:shd w:val="clear" w:color="auto" w:fill="FFFFFF"/>
        </w:rPr>
        <w:t> 10.1 (2017): 63-68.</w:t>
      </w:r>
      <w:r w:rsidRPr="00541BC1">
        <w:t xml:space="preserve"> </w:t>
      </w:r>
    </w:p>
    <w:p w14:paraId="7D0A5567" w14:textId="77777777" w:rsidR="00541BC1" w:rsidRPr="00541BC1" w:rsidRDefault="00541BC1" w:rsidP="009F1183">
      <w:pPr>
        <w:spacing w:after="120"/>
      </w:pPr>
      <w:r w:rsidRPr="00541BC1">
        <w:rPr>
          <w:shd w:val="clear" w:color="auto" w:fill="FFFFFF"/>
        </w:rPr>
        <w:t>Putnam, Christopher. "Overview of glare types and their relationship with macular pigment optical density." </w:t>
      </w:r>
      <w:r w:rsidRPr="00541BC1">
        <w:rPr>
          <w:i/>
          <w:iCs/>
          <w:shd w:val="clear" w:color="auto" w:fill="FFFFFF"/>
        </w:rPr>
        <w:t xml:space="preserve">Int J </w:t>
      </w:r>
      <w:proofErr w:type="spellStart"/>
      <w:r w:rsidRPr="00541BC1">
        <w:rPr>
          <w:i/>
          <w:iCs/>
          <w:shd w:val="clear" w:color="auto" w:fill="FFFFFF"/>
        </w:rPr>
        <w:t>Approx</w:t>
      </w:r>
      <w:proofErr w:type="spellEnd"/>
      <w:r w:rsidRPr="00541BC1">
        <w:rPr>
          <w:i/>
          <w:iCs/>
          <w:shd w:val="clear" w:color="auto" w:fill="FFFFFF"/>
        </w:rPr>
        <w:t xml:space="preserve"> Reason</w:t>
      </w:r>
      <w:r w:rsidRPr="00541BC1">
        <w:rPr>
          <w:shd w:val="clear" w:color="auto" w:fill="FFFFFF"/>
        </w:rPr>
        <w:t> 5 (2017): 1131-1140.</w:t>
      </w:r>
      <w:r w:rsidRPr="00541BC1">
        <w:t xml:space="preserve"> </w:t>
      </w:r>
    </w:p>
    <w:p w14:paraId="51D8CFFD" w14:textId="77777777" w:rsidR="00541BC1" w:rsidRPr="00541BC1" w:rsidRDefault="00541BC1" w:rsidP="009F1183">
      <w:pPr>
        <w:spacing w:after="120"/>
        <w:rPr>
          <w:shd w:val="clear" w:color="auto" w:fill="FFFFFF"/>
        </w:rPr>
      </w:pPr>
      <w:r w:rsidRPr="00541BC1">
        <w:rPr>
          <w:shd w:val="clear" w:color="auto" w:fill="FFFFFF"/>
        </w:rPr>
        <w:t>Gerton, Katherine M., et al. "A Novel Method for Optical Distortion Quantification." </w:t>
      </w:r>
      <w:r w:rsidRPr="00541BC1">
        <w:rPr>
          <w:i/>
          <w:iCs/>
          <w:shd w:val="clear" w:color="auto" w:fill="FFFFFF"/>
        </w:rPr>
        <w:t>Optometry and Vision Science</w:t>
      </w:r>
      <w:r w:rsidRPr="00541BC1">
        <w:rPr>
          <w:shd w:val="clear" w:color="auto" w:fill="FFFFFF"/>
        </w:rPr>
        <w:t> 96.2 (2019): 117-123.</w:t>
      </w:r>
    </w:p>
    <w:p w14:paraId="56079E1C" w14:textId="38B23F03" w:rsidR="00541BC1" w:rsidRPr="00541BC1" w:rsidRDefault="00541BC1" w:rsidP="009F1183">
      <w:pPr>
        <w:spacing w:after="120"/>
        <w:rPr>
          <w:shd w:val="clear" w:color="auto" w:fill="FFFFFF"/>
        </w:rPr>
      </w:pPr>
      <w:r>
        <w:rPr>
          <w:shd w:val="clear" w:color="auto" w:fill="FFFFFF"/>
        </w:rPr>
        <w:t>Putnam, Christopher. “</w:t>
      </w:r>
      <w:r w:rsidRPr="00541BC1">
        <w:rPr>
          <w:shd w:val="clear" w:color="auto" w:fill="FFFFFF"/>
        </w:rPr>
        <w:t>Idiopathic Macular Telangiectasia Type 2 and Its Relationship with Macular Pigment Optical Density.</w:t>
      </w:r>
      <w:r>
        <w:rPr>
          <w:shd w:val="clear" w:color="auto" w:fill="FFFFFF"/>
        </w:rPr>
        <w:t>”</w:t>
      </w:r>
      <w:r w:rsidRPr="00541BC1">
        <w:rPr>
          <w:shd w:val="clear" w:color="auto" w:fill="FFFFFF"/>
        </w:rPr>
        <w:t xml:space="preserve"> </w:t>
      </w:r>
      <w:r w:rsidRPr="00541BC1">
        <w:rPr>
          <w:i/>
          <w:iCs/>
          <w:shd w:val="clear" w:color="auto" w:fill="FFFFFF"/>
        </w:rPr>
        <w:t xml:space="preserve">Int Res J </w:t>
      </w:r>
      <w:proofErr w:type="spellStart"/>
      <w:r w:rsidRPr="00541BC1">
        <w:rPr>
          <w:i/>
          <w:iCs/>
          <w:shd w:val="clear" w:color="auto" w:fill="FFFFFF"/>
        </w:rPr>
        <w:t>Optha</w:t>
      </w:r>
      <w:proofErr w:type="spellEnd"/>
      <w:r w:rsidRPr="00541BC1">
        <w:rPr>
          <w:shd w:val="clear" w:color="auto" w:fill="FFFFFF"/>
        </w:rPr>
        <w:t xml:space="preserve">. </w:t>
      </w:r>
      <w:r>
        <w:rPr>
          <w:shd w:val="clear" w:color="auto" w:fill="FFFFFF"/>
        </w:rPr>
        <w:t xml:space="preserve">(2019) </w:t>
      </w:r>
      <w:r w:rsidRPr="00541BC1">
        <w:rPr>
          <w:shd w:val="clear" w:color="auto" w:fill="FFFFFF"/>
        </w:rPr>
        <w:t>1:1-12.</w:t>
      </w:r>
    </w:p>
    <w:p w14:paraId="34058E85" w14:textId="4196ECCF" w:rsidR="009F1183" w:rsidRPr="00541BC1" w:rsidRDefault="009F1183" w:rsidP="009F1183">
      <w:pPr>
        <w:spacing w:after="120"/>
      </w:pPr>
      <w:r w:rsidRPr="00541BC1">
        <w:t xml:space="preserve">Oral Rifampin Treatment of Acute Central Serous Chorioretinopathy </w:t>
      </w:r>
      <w:proofErr w:type="spellStart"/>
      <w:r w:rsidRPr="00541BC1">
        <w:rPr>
          <w:i/>
          <w:iCs/>
        </w:rPr>
        <w:t>Optom</w:t>
      </w:r>
      <w:proofErr w:type="spellEnd"/>
      <w:r w:rsidRPr="00541BC1">
        <w:rPr>
          <w:i/>
          <w:iCs/>
        </w:rPr>
        <w:t xml:space="preserve"> Vis Sci.</w:t>
      </w:r>
      <w:r w:rsidRPr="00541BC1">
        <w:t xml:space="preserve"> </w:t>
      </w:r>
      <w:r w:rsidRPr="00541BC1">
        <w:t xml:space="preserve">2022 </w:t>
      </w:r>
      <w:r w:rsidRPr="00541BC1">
        <w:t>IN REVIEW</w:t>
      </w:r>
    </w:p>
    <w:p w14:paraId="543951DE" w14:textId="35D79FC7" w:rsidR="009F1183" w:rsidRPr="00541BC1" w:rsidRDefault="009F1183" w:rsidP="009F1183">
      <w:pPr>
        <w:spacing w:after="120"/>
      </w:pPr>
      <w:r w:rsidRPr="00541BC1">
        <w:t xml:space="preserve">Therapeutic and Diagnostic Uses of Curcumin in Primary Eye Care, </w:t>
      </w:r>
      <w:r w:rsidRPr="00541BC1">
        <w:rPr>
          <w:i/>
          <w:iCs/>
        </w:rPr>
        <w:t>Nutrients</w:t>
      </w:r>
      <w:r w:rsidRPr="00541BC1">
        <w:t xml:space="preserve"> </w:t>
      </w:r>
      <w:r w:rsidRPr="00541BC1">
        <w:t xml:space="preserve">2022 </w:t>
      </w:r>
      <w:r w:rsidRPr="00541BC1">
        <w:t xml:space="preserve">IN REVIEW </w:t>
      </w:r>
    </w:p>
    <w:p w14:paraId="2E8DB5A9" w14:textId="77777777" w:rsidR="006007FE" w:rsidRDefault="006007FE" w:rsidP="009F1183"/>
    <w:p w14:paraId="67D1B120" w14:textId="15746D31" w:rsidR="009F1183" w:rsidRPr="00E847CA" w:rsidRDefault="009F1183" w:rsidP="009F1183">
      <w:pPr>
        <w:rPr>
          <w:b/>
          <w:bCs/>
          <w:u w:val="single"/>
        </w:rPr>
      </w:pPr>
      <w:r w:rsidRPr="00E847CA">
        <w:rPr>
          <w:b/>
          <w:bCs/>
          <w:u w:val="single"/>
        </w:rPr>
        <w:t>Biography</w:t>
      </w:r>
    </w:p>
    <w:p w14:paraId="32308198" w14:textId="09E860B1" w:rsidR="009F1183" w:rsidRPr="006007FE" w:rsidRDefault="009F1183" w:rsidP="009F1183"/>
    <w:p w14:paraId="32D209D1" w14:textId="426AC781" w:rsidR="009F1183" w:rsidRPr="006007FE" w:rsidRDefault="009F1183" w:rsidP="009F1183">
      <w:r w:rsidRPr="006007FE">
        <w:t>Dr.</w:t>
      </w:r>
      <w:r w:rsidRPr="006007FE">
        <w:t xml:space="preserve"> Putnam earned a Bachelor of Science degree in Biology from South Dakota State University in 2001 and a Doctorate in Optometry from Pacific University in 2005. He was commissioned in March 2004 as part of the Health Professions Scholarship Program, completed the USAF Optometry Residency program at Wilford Hall Medical Center and was awarded board certification in 2009. </w:t>
      </w:r>
      <w:r w:rsidRPr="006007FE">
        <w:t>Dr.</w:t>
      </w:r>
      <w:r w:rsidRPr="006007FE">
        <w:t xml:space="preserve"> Putnam was competitively selected to attend the Air Force Institute of Technology (AFIT) Civilian Institution Program to pursue a PhD in Vision Science in 2011 completing the accelerated PhD program in 3 years winning an unprecedented 3 Graduate Research Fellowship awards</w:t>
      </w:r>
      <w:r w:rsidR="006007FE" w:rsidRPr="006007FE">
        <w:t>. He currently supervises clinical students and residents at the University of the Incarnate Word Rosenberg School of Optometry (RSO) and is Co-Director of the Sports Vision Fellowship at RSO</w:t>
      </w:r>
    </w:p>
    <w:sectPr w:rsidR="009F1183" w:rsidRPr="006007FE" w:rsidSect="00541BC1">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1E3BCA"/>
    <w:multiLevelType w:val="hybridMultilevel"/>
    <w:tmpl w:val="D1AC34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372875050">
    <w:abstractNumId w:val="0"/>
    <w:lvlOverride w:ilvl="0"/>
    <w:lvlOverride w:ilvl="1"/>
    <w:lvlOverride w:ilvl="2"/>
    <w:lvlOverride w:ilvl="3"/>
    <w:lvlOverride w:ilvl="4"/>
    <w:lvlOverride w:ilvl="5"/>
    <w:lvlOverride w:ilvl="6"/>
    <w:lvlOverride w:ilvl="7"/>
    <w:lvlOverride w:ilvl="8"/>
  </w:num>
  <w:num w:numId="2" w16cid:durableId="1102991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183"/>
    <w:rsid w:val="001549A9"/>
    <w:rsid w:val="0037521E"/>
    <w:rsid w:val="00541BC1"/>
    <w:rsid w:val="006007FE"/>
    <w:rsid w:val="009731DE"/>
    <w:rsid w:val="009F1183"/>
    <w:rsid w:val="00E84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78AAE"/>
  <w15:chartTrackingRefBased/>
  <w15:docId w15:val="{C8A3B622-6B01-405A-AB6D-93317DBCF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18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67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Putnam</dc:creator>
  <cp:keywords/>
  <dc:description/>
  <cp:lastModifiedBy>Christopher Putnam</cp:lastModifiedBy>
  <cp:revision>2</cp:revision>
  <dcterms:created xsi:type="dcterms:W3CDTF">2022-05-18T20:06:00Z</dcterms:created>
  <dcterms:modified xsi:type="dcterms:W3CDTF">2022-05-18T20:06:00Z</dcterms:modified>
</cp:coreProperties>
</file>