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18E41" w14:textId="753483A9" w:rsidR="0090150C" w:rsidRDefault="0090150C" w:rsidP="0090150C">
      <w:pPr>
        <w:pStyle w:val="NormalWeb"/>
        <w:jc w:val="both"/>
        <w:rPr>
          <w:rFonts w:asciiTheme="minorHAnsi" w:eastAsiaTheme="minorHAnsi" w:hAnsiTheme="minorHAnsi" w:cstheme="minorHAnsi"/>
          <w:b/>
          <w:sz w:val="22"/>
          <w:szCs w:val="22"/>
        </w:rPr>
      </w:pPr>
      <w:r>
        <w:rPr>
          <w:rFonts w:asciiTheme="minorHAnsi" w:eastAsiaTheme="minorHAnsi" w:hAnsiTheme="minorHAnsi" w:cstheme="minorHAnsi"/>
          <w:b/>
          <w:sz w:val="22"/>
          <w:szCs w:val="22"/>
        </w:rPr>
        <w:t xml:space="preserve">Pedigree analysis of </w:t>
      </w:r>
      <w:r w:rsidRPr="00384F46">
        <w:rPr>
          <w:rFonts w:asciiTheme="minorHAnsi" w:eastAsiaTheme="minorHAnsi" w:hAnsiTheme="minorHAnsi" w:cstheme="minorHAnsi"/>
          <w:b/>
          <w:sz w:val="22"/>
          <w:szCs w:val="22"/>
        </w:rPr>
        <w:t xml:space="preserve">South Asian </w:t>
      </w:r>
      <w:r>
        <w:rPr>
          <w:rFonts w:asciiTheme="minorHAnsi" w:eastAsiaTheme="minorHAnsi" w:hAnsiTheme="minorHAnsi" w:cstheme="minorHAnsi"/>
          <w:b/>
          <w:sz w:val="22"/>
          <w:szCs w:val="22"/>
        </w:rPr>
        <w:t>informative families</w:t>
      </w:r>
      <w:r w:rsidRPr="00384F46">
        <w:rPr>
          <w:rFonts w:asciiTheme="minorHAnsi" w:eastAsiaTheme="minorHAnsi" w:hAnsiTheme="minorHAnsi" w:cstheme="minorHAnsi"/>
          <w:b/>
          <w:sz w:val="22"/>
          <w:szCs w:val="22"/>
        </w:rPr>
        <w:t xml:space="preserve"> with primary concomitant horizontal strabismus</w:t>
      </w:r>
    </w:p>
    <w:p w14:paraId="037B0F1C" w14:textId="77777777" w:rsidR="0090150C" w:rsidRDefault="0090150C" w:rsidP="0090150C">
      <w:pPr>
        <w:pStyle w:val="NormalWeb"/>
        <w:jc w:val="both"/>
        <w:rPr>
          <w:rFonts w:asciiTheme="minorHAnsi" w:eastAsiaTheme="minorHAnsi" w:hAnsiTheme="minorHAnsi" w:cstheme="minorHAnsi"/>
          <w:b/>
          <w:sz w:val="22"/>
          <w:szCs w:val="22"/>
        </w:rPr>
      </w:pPr>
    </w:p>
    <w:p w14:paraId="20217B32" w14:textId="12FC0D2D" w:rsidR="00E33B36" w:rsidRDefault="0090150C" w:rsidP="00E33B36">
      <w:pPr>
        <w:widowControl w:val="0"/>
        <w:spacing w:before="73" w:after="0" w:line="198" w:lineRule="exact"/>
        <w:ind w:left="100" w:right="5987"/>
        <w:rPr>
          <w:rFonts w:ascii="Arial" w:eastAsia="Tw Cen MT" w:hAnsi="Tw Cen MT" w:cs="Tw Cen MT"/>
          <w:sz w:val="18"/>
          <w:szCs w:val="18"/>
          <w:lang w:val="en-US"/>
        </w:rPr>
      </w:pPr>
      <w:r>
        <w:rPr>
          <w:rFonts w:ascii="Arial" w:eastAsia="Tw Cen MT" w:hAnsi="Tw Cen MT" w:cs="Tw Cen MT"/>
          <w:sz w:val="18"/>
          <w:szCs w:val="18"/>
          <w:lang w:val="en-US"/>
        </w:rPr>
        <w:t>Zia Chaudhuri, MS, FRCS(Glasg), PhD (Genetics), FAMS</w:t>
      </w:r>
    </w:p>
    <w:p w14:paraId="6A922ABF" w14:textId="3DA9E9AC" w:rsidR="0090150C" w:rsidRPr="00E33B36" w:rsidRDefault="0090150C" w:rsidP="00E33B36">
      <w:pPr>
        <w:widowControl w:val="0"/>
        <w:spacing w:before="73" w:after="0" w:line="198" w:lineRule="exact"/>
        <w:ind w:left="100" w:right="5987"/>
        <w:rPr>
          <w:rFonts w:ascii="Arial" w:eastAsia="Tw Cen MT" w:hAnsi="Tw Cen MT" w:cs="Tw Cen MT"/>
          <w:sz w:val="18"/>
          <w:szCs w:val="18"/>
          <w:lang w:val="en-US"/>
        </w:rPr>
      </w:pPr>
      <w:r>
        <w:rPr>
          <w:rFonts w:ascii="Arial" w:eastAsia="Tw Cen MT" w:hAnsi="Tw Cen MT" w:cs="Tw Cen MT"/>
          <w:sz w:val="18"/>
          <w:szCs w:val="18"/>
          <w:lang w:val="en-US"/>
        </w:rPr>
        <w:t>Lady Hardinge Medical College, University of Delhi, ABVIMS and Dr RML Hospital, New Delhi</w:t>
      </w:r>
    </w:p>
    <w:p w14:paraId="3F7FE3DD" w14:textId="77777777" w:rsidR="00E33B36" w:rsidRPr="00E33B36" w:rsidRDefault="00E33B36" w:rsidP="00E33B36">
      <w:pPr>
        <w:widowControl w:val="0"/>
        <w:spacing w:after="0" w:line="240" w:lineRule="auto"/>
        <w:rPr>
          <w:rFonts w:ascii="Arial" w:eastAsia="Tw Cen MT" w:hAnsi="Tw Cen MT" w:cs="Tw Cen MT"/>
          <w:sz w:val="21"/>
          <w:lang w:val="en-US"/>
        </w:rPr>
        <w:sectPr w:rsidR="00E33B36" w:rsidRPr="00E33B36" w:rsidSect="00E33B36">
          <w:headerReference w:type="default" r:id="rId5"/>
          <w:footerReference w:type="default" r:id="rId6"/>
          <w:pgSz w:w="11910" w:h="16840"/>
          <w:pgMar w:top="1740" w:right="600" w:bottom="840" w:left="620" w:header="541" w:footer="642" w:gutter="0"/>
          <w:cols w:space="720"/>
        </w:sectPr>
      </w:pPr>
    </w:p>
    <w:p w14:paraId="28555FB1" w14:textId="136309DD" w:rsidR="00E33B36" w:rsidRDefault="00E33B36" w:rsidP="00E33B36">
      <w:pPr>
        <w:widowControl w:val="0"/>
        <w:spacing w:before="147" w:after="0" w:line="240" w:lineRule="auto"/>
        <w:ind w:left="100"/>
        <w:jc w:val="both"/>
        <w:outlineLvl w:val="2"/>
        <w:rPr>
          <w:rFonts w:ascii="Arial" w:eastAsia="Arial" w:hAnsi="Arial" w:cs="Arial"/>
          <w:b/>
          <w:bCs/>
          <w:color w:val="BF5A14"/>
          <w:sz w:val="20"/>
          <w:szCs w:val="20"/>
          <w:lang w:val="en-US"/>
        </w:rPr>
      </w:pPr>
      <w:r w:rsidRPr="00E33B36">
        <w:rPr>
          <w:rFonts w:ascii="Arial" w:eastAsia="Arial" w:hAnsi="Arial" w:cs="Arial"/>
          <w:b/>
          <w:bCs/>
          <w:color w:val="BF5A14"/>
          <w:sz w:val="20"/>
          <w:szCs w:val="20"/>
          <w:lang w:val="en-US"/>
        </w:rPr>
        <w:t>Abstract (300 word limit)</w:t>
      </w:r>
    </w:p>
    <w:p w14:paraId="597E3122" w14:textId="77777777" w:rsidR="008B7187" w:rsidRPr="00E33B36" w:rsidRDefault="008B7187" w:rsidP="00E33B36">
      <w:pPr>
        <w:widowControl w:val="0"/>
        <w:spacing w:before="147" w:after="0" w:line="240" w:lineRule="auto"/>
        <w:ind w:left="100"/>
        <w:jc w:val="both"/>
        <w:outlineLvl w:val="2"/>
        <w:rPr>
          <w:rFonts w:ascii="Arial" w:eastAsia="Arial" w:hAnsi="Arial" w:cs="Arial"/>
          <w:b/>
          <w:bCs/>
          <w:sz w:val="20"/>
          <w:szCs w:val="20"/>
          <w:lang w:val="en-US"/>
        </w:rPr>
      </w:pPr>
    </w:p>
    <w:p w14:paraId="1CB3277A" w14:textId="77777777" w:rsidR="007C0116" w:rsidRPr="007C0116" w:rsidRDefault="00E33B36" w:rsidP="00E33B36">
      <w:pPr>
        <w:widowControl w:val="0"/>
        <w:spacing w:before="90" w:after="0" w:line="280" w:lineRule="auto"/>
        <w:ind w:left="100"/>
        <w:jc w:val="both"/>
        <w:rPr>
          <w:rFonts w:eastAsia="Tw Cen MT" w:cstheme="minorHAnsi"/>
          <w:sz w:val="20"/>
          <w:szCs w:val="20"/>
          <w:lang w:val="en-US"/>
        </w:rPr>
      </w:pPr>
      <w:r w:rsidRPr="00E33B36">
        <w:rPr>
          <w:rFonts w:eastAsia="Tw Cen MT" w:cstheme="minorHAnsi"/>
          <w:sz w:val="20"/>
          <w:szCs w:val="20"/>
          <w:lang w:val="en-US"/>
        </w:rPr>
        <w:t xml:space="preserve">Statement of the Problem: </w:t>
      </w:r>
      <w:r w:rsidR="008B7187" w:rsidRPr="007C0116">
        <w:rPr>
          <w:rFonts w:cstheme="minorHAnsi"/>
          <w:sz w:val="20"/>
          <w:szCs w:val="20"/>
        </w:rPr>
        <w:t xml:space="preserve">Familial forms of primary concomitant horizontal strabismus (PCHS) comprising intermittent exotropia (XT) and accommodative esotropia (ET) have been observed across all populations. However, no definitive mode of inheritance or any genetic determinants have been concretely established for the same. </w:t>
      </w:r>
      <w:r w:rsidR="007C0116" w:rsidRPr="007C0116">
        <w:rPr>
          <w:rFonts w:cstheme="minorHAnsi"/>
          <w:sz w:val="20"/>
          <w:szCs w:val="20"/>
        </w:rPr>
        <w:t xml:space="preserve">This talk focusses on the pedigree analysis of </w:t>
      </w:r>
      <w:r w:rsidR="008B7187" w:rsidRPr="007C0116">
        <w:rPr>
          <w:rFonts w:cstheme="minorHAnsi"/>
          <w:sz w:val="20"/>
          <w:szCs w:val="20"/>
        </w:rPr>
        <w:t xml:space="preserve">informative families with PCHS in a South Asian population for subsequent putative disease-causing variant identification through appropriate genetic analysis. </w:t>
      </w:r>
      <w:r w:rsidRPr="00E33B36">
        <w:rPr>
          <w:rFonts w:eastAsia="Tw Cen MT" w:cstheme="minorHAnsi"/>
          <w:sz w:val="20"/>
          <w:szCs w:val="20"/>
          <w:lang w:val="en-US"/>
        </w:rPr>
        <w:t xml:space="preserve">  </w:t>
      </w:r>
    </w:p>
    <w:p w14:paraId="2AEA342A" w14:textId="5F67D7C7" w:rsidR="007C0116" w:rsidRPr="007C0116" w:rsidRDefault="00E33B36" w:rsidP="007C0116">
      <w:pPr>
        <w:pStyle w:val="NormalWeb"/>
        <w:jc w:val="both"/>
        <w:rPr>
          <w:rFonts w:asciiTheme="minorHAnsi" w:hAnsiTheme="minorHAnsi" w:cstheme="minorHAnsi"/>
          <w:color w:val="333333"/>
          <w:sz w:val="20"/>
          <w:szCs w:val="20"/>
        </w:rPr>
      </w:pPr>
      <w:r w:rsidRPr="00E33B36">
        <w:rPr>
          <w:rFonts w:asciiTheme="minorHAnsi" w:eastAsia="Tw Cen MT" w:hAnsiTheme="minorHAnsi" w:cstheme="minorHAnsi"/>
          <w:sz w:val="20"/>
          <w:szCs w:val="20"/>
        </w:rPr>
        <w:t>Clinical P</w:t>
      </w:r>
      <w:r w:rsidR="007C0116">
        <w:rPr>
          <w:rFonts w:asciiTheme="minorHAnsi" w:eastAsia="Tw Cen MT" w:hAnsiTheme="minorHAnsi" w:cstheme="minorHAnsi"/>
          <w:sz w:val="20"/>
          <w:szCs w:val="20"/>
        </w:rPr>
        <w:t>r</w:t>
      </w:r>
      <w:r w:rsidRPr="00E33B36">
        <w:rPr>
          <w:rFonts w:asciiTheme="minorHAnsi" w:eastAsia="Tw Cen MT" w:hAnsiTheme="minorHAnsi" w:cstheme="minorHAnsi"/>
          <w:sz w:val="20"/>
          <w:szCs w:val="20"/>
        </w:rPr>
        <w:t xml:space="preserve">actice: </w:t>
      </w:r>
      <w:r w:rsidR="007C0116" w:rsidRPr="007C0116">
        <w:rPr>
          <w:rFonts w:asciiTheme="minorHAnsi" w:hAnsiTheme="minorHAnsi" w:cstheme="minorHAnsi"/>
          <w:color w:val="333333"/>
          <w:sz w:val="20"/>
          <w:szCs w:val="20"/>
        </w:rPr>
        <w:t>I</w:t>
      </w:r>
      <w:r w:rsidR="007C0116" w:rsidRPr="007C0116">
        <w:rPr>
          <w:rFonts w:asciiTheme="minorHAnsi" w:hAnsiTheme="minorHAnsi" w:cstheme="minorHAnsi"/>
          <w:color w:val="333333"/>
          <w:sz w:val="20"/>
          <w:szCs w:val="20"/>
        </w:rPr>
        <w:t xml:space="preserve">nformative families with two or more affected members with PCHS were recruited from the strabismus clinics of the affiliated hospitals from August 2014 to January 2022. Detailed phenotypic evaluation of the proband and other affected family members was performed.  Pedigree documentation was done by Cyrillic 3.0.400 software. </w:t>
      </w:r>
    </w:p>
    <w:p w14:paraId="2FCED394" w14:textId="77777777" w:rsidR="007C0116" w:rsidRPr="007C0116" w:rsidRDefault="00E33B36" w:rsidP="007C0116">
      <w:pPr>
        <w:pStyle w:val="NormalWeb"/>
        <w:jc w:val="both"/>
        <w:rPr>
          <w:rFonts w:cstheme="minorHAnsi"/>
          <w:sz w:val="20"/>
          <w:szCs w:val="20"/>
        </w:rPr>
      </w:pPr>
      <w:r w:rsidRPr="00E33B36">
        <w:rPr>
          <w:rFonts w:asciiTheme="minorHAnsi" w:eastAsia="Tw Cen MT" w:hAnsiTheme="minorHAnsi" w:cstheme="minorHAnsi"/>
          <w:sz w:val="20"/>
          <w:szCs w:val="20"/>
        </w:rPr>
        <w:t xml:space="preserve">Conclusion &amp; Significance: </w:t>
      </w:r>
      <w:r w:rsidR="007C0116" w:rsidRPr="007C0116">
        <w:rPr>
          <w:rFonts w:asciiTheme="minorHAnsi" w:hAnsiTheme="minorHAnsi" w:cstheme="minorHAnsi"/>
          <w:color w:val="333333"/>
          <w:sz w:val="20"/>
          <w:szCs w:val="20"/>
        </w:rPr>
        <w:t>This is the largest clinical registry of PCHS in the South Asian population and provides insights</w:t>
      </w:r>
      <w:r w:rsidR="007C0116" w:rsidRPr="00DF37EB">
        <w:rPr>
          <w:rFonts w:asciiTheme="minorHAnsi" w:hAnsiTheme="minorHAnsi" w:cstheme="minorHAnsi"/>
          <w:color w:val="333333"/>
          <w:sz w:val="22"/>
          <w:szCs w:val="22"/>
        </w:rPr>
        <w:t xml:space="preserve"> into the intricate distribution of this phenotype therein. Analysis of this large and unique informative pedigree </w:t>
      </w:r>
      <w:r w:rsidR="007C0116" w:rsidRPr="007C0116">
        <w:rPr>
          <w:rFonts w:asciiTheme="minorHAnsi" w:hAnsiTheme="minorHAnsi" w:cstheme="minorHAnsi"/>
          <w:color w:val="333333"/>
          <w:sz w:val="20"/>
          <w:szCs w:val="20"/>
        </w:rPr>
        <w:t>cohort in this geographical location, recruited for future</w:t>
      </w:r>
      <w:r w:rsidR="007C0116" w:rsidRPr="00DF37EB">
        <w:rPr>
          <w:rFonts w:asciiTheme="minorHAnsi" w:hAnsiTheme="minorHAnsi" w:cstheme="minorHAnsi"/>
          <w:color w:val="333333"/>
          <w:sz w:val="22"/>
          <w:szCs w:val="22"/>
        </w:rPr>
        <w:t xml:space="preserve"> </w:t>
      </w:r>
      <w:r w:rsidR="007C0116" w:rsidRPr="007C0116">
        <w:rPr>
          <w:rFonts w:asciiTheme="minorHAnsi" w:hAnsiTheme="minorHAnsi" w:cstheme="minorHAnsi"/>
          <w:color w:val="333333"/>
          <w:sz w:val="20"/>
          <w:szCs w:val="20"/>
        </w:rPr>
        <w:t>genetic analysis, opens perspectives on the study of clinical and genetic heterogeneity of this condition. A large preponderance of XT families versus ET families was observed in this population, which is at variance from the Caucasian population. As XT is mostly intermittent, a high degree of suspicion for acquiring a detailed family history is of relevance.</w:t>
      </w:r>
    </w:p>
    <w:p w14:paraId="4EA0DD88" w14:textId="2C979595" w:rsidR="00E33B36" w:rsidRPr="00E33B36" w:rsidRDefault="00E33B36" w:rsidP="007C0116">
      <w:pPr>
        <w:widowControl w:val="0"/>
        <w:spacing w:before="90" w:after="0" w:line="280" w:lineRule="auto"/>
        <w:ind w:left="100"/>
        <w:jc w:val="both"/>
        <w:rPr>
          <w:rFonts w:ascii="Arial" w:eastAsia="Tw Cen MT" w:hAnsi="Tw Cen MT" w:cs="Tw Cen MT"/>
          <w:b/>
          <w:sz w:val="20"/>
          <w:lang w:val="en-US"/>
        </w:rPr>
      </w:pPr>
      <w:r w:rsidRPr="00E33B36">
        <w:rPr>
          <w:rFonts w:ascii="Arial" w:eastAsia="Tw Cen MT" w:hAnsi="Tw Cen MT" w:cs="Tw Cen MT"/>
          <w:b/>
          <w:color w:val="BF5A14"/>
          <w:sz w:val="20"/>
          <w:lang w:val="en-US"/>
        </w:rPr>
        <w:br/>
        <w:t>Recent Publications (minimum 5)</w:t>
      </w:r>
    </w:p>
    <w:p w14:paraId="5ADD29BB" w14:textId="1CBFB4DB" w:rsidR="00C41213" w:rsidRPr="00C41213" w:rsidRDefault="00C41213" w:rsidP="00C41213">
      <w:pPr>
        <w:numPr>
          <w:ilvl w:val="0"/>
          <w:numId w:val="1"/>
        </w:numPr>
        <w:spacing w:after="200" w:line="276" w:lineRule="auto"/>
        <w:ind w:left="360"/>
        <w:rPr>
          <w:rFonts w:eastAsia="Times New Roman" w:cstheme="minorHAnsi"/>
          <w:b/>
          <w:color w:val="000000"/>
          <w:sz w:val="20"/>
          <w:szCs w:val="20"/>
        </w:rPr>
      </w:pPr>
      <w:r w:rsidRPr="007741FA">
        <w:rPr>
          <w:rFonts w:eastAsia="Times New Roman" w:cstheme="minorHAnsi"/>
          <w:color w:val="000000"/>
          <w:sz w:val="20"/>
          <w:szCs w:val="20"/>
        </w:rPr>
        <w:t xml:space="preserve">Boudry C, </w:t>
      </w:r>
      <w:r w:rsidRPr="007741FA">
        <w:rPr>
          <w:rFonts w:cstheme="minorHAnsi"/>
          <w:color w:val="000000"/>
          <w:sz w:val="20"/>
          <w:szCs w:val="20"/>
        </w:rPr>
        <w:t>Alvarez-Muñoz P, Arencibia-Jorge R, Ayena D, Brouwer NJ, </w:t>
      </w:r>
      <w:r w:rsidRPr="007741FA">
        <w:rPr>
          <w:rFonts w:cstheme="minorHAnsi"/>
          <w:b/>
          <w:bCs/>
          <w:color w:val="000000"/>
          <w:sz w:val="20"/>
          <w:szCs w:val="20"/>
        </w:rPr>
        <w:t>Chaudhuri Z</w:t>
      </w:r>
      <w:r w:rsidRPr="007741FA">
        <w:rPr>
          <w:rFonts w:cstheme="minorHAnsi"/>
          <w:color w:val="000000"/>
          <w:sz w:val="20"/>
          <w:szCs w:val="20"/>
        </w:rPr>
        <w:t xml:space="preserve">, Chawner B, Epee E, Erraïs K, Fotouhi A, Gharaibeh AM, Hassanein DH, Herwig-Carl MC, Howard K, Kaimbo Wa Kaimbo D, Laughrea PA, Lopez FA, </w:t>
      </w:r>
      <w:r w:rsidRPr="007741FA">
        <w:rPr>
          <w:rFonts w:cstheme="minorHAnsi"/>
          <w:color w:val="000000"/>
          <w:sz w:val="20"/>
          <w:szCs w:val="20"/>
        </w:rPr>
        <w:t xml:space="preserve">Machin-Mastromatteo JD, Malerbi FK, Ndiaye PA, Noor NA, Pacheco-Mendoza J, Papastefanou VP, Shah M, Shields CL, Wang YX, Yartsev V, Mouriaux F. Worldwide inequality in access to full text scientific articles: the example of ophthalmology. PeerJ 2019; 7e7850 </w:t>
      </w:r>
      <w:r w:rsidRPr="007741FA">
        <w:rPr>
          <w:rFonts w:cstheme="minorHAnsi"/>
          <w:b/>
          <w:color w:val="000000"/>
          <w:sz w:val="20"/>
          <w:szCs w:val="20"/>
        </w:rPr>
        <w:t>(IF:2.35)</w:t>
      </w:r>
    </w:p>
    <w:p w14:paraId="6D0C4689" w14:textId="77777777" w:rsidR="00C41213" w:rsidRPr="007741FA" w:rsidRDefault="00C41213" w:rsidP="00C41213">
      <w:pPr>
        <w:numPr>
          <w:ilvl w:val="0"/>
          <w:numId w:val="1"/>
        </w:numPr>
        <w:spacing w:after="200" w:line="276" w:lineRule="auto"/>
        <w:ind w:left="360"/>
        <w:rPr>
          <w:rFonts w:eastAsia="Times New Roman" w:cstheme="minorHAnsi"/>
          <w:color w:val="000000"/>
          <w:sz w:val="20"/>
          <w:szCs w:val="20"/>
        </w:rPr>
      </w:pPr>
      <w:r w:rsidRPr="007741FA">
        <w:rPr>
          <w:rFonts w:eastAsia="Times New Roman" w:cstheme="minorHAnsi"/>
          <w:color w:val="000000"/>
          <w:sz w:val="20"/>
          <w:szCs w:val="20"/>
        </w:rPr>
        <w:t xml:space="preserve">Arora NK, Nair MKC, Gulati S, Deshmukh V, Mohapatra A, Mishra D, Patel V, Pandey RM, Das BC, Divan G, Murthy GVS, Sharma TD, Sapra S, Aneja S, Juneja M, Reddy SK, Suman P, Mukherjee SB, Dasgupta R, Tudu P, Das MK, Bhutani VK, Durkin MS, Pinto-Martin J, Silberberg DH, Sagar R, Ahmed F, Babu N, Bavdekar S, Chandra V, </w:t>
      </w:r>
      <w:r w:rsidRPr="007741FA">
        <w:rPr>
          <w:rFonts w:eastAsia="Times New Roman" w:cstheme="minorHAnsi"/>
          <w:b/>
          <w:color w:val="000000"/>
          <w:sz w:val="20"/>
          <w:szCs w:val="20"/>
        </w:rPr>
        <w:t>Chaudhuri Z</w:t>
      </w:r>
      <w:r w:rsidRPr="007741FA">
        <w:rPr>
          <w:rFonts w:eastAsia="Times New Roman" w:cstheme="minorHAnsi"/>
          <w:color w:val="000000"/>
          <w:sz w:val="20"/>
          <w:szCs w:val="20"/>
        </w:rPr>
        <w:t xml:space="preserve">, Dada T, Dass R, Gourie-Devi M, Remadevi S, Gupta JC, Handa KK, Kalra V, Karande S, Konanki R, Kulkarni M, Kumar R, Maria A, Masoodi MA, Mehta M, Mohanty SK, Nair H, Natarajan P, Niswade AK, Prasad A, Rai SK, Russell PSS, Saxena R, Sharma S, Singh AK, Singh GB, Sumaraj L, Suresh S, Thakar A, Parthasarathy S, Vyas B, Panigrahi A, Saroch MK, Shukla R, Rao KVR, Silveira MP, Singh S, Vajaratkar V. Neurodevelopmental disorders in children aged 2-9 years: Population-based burden estimates across five regions in India.  PLoS Med. Jul 24;15(7):e1002615, </w:t>
      </w:r>
      <w:r w:rsidRPr="007741FA">
        <w:rPr>
          <w:rFonts w:eastAsia="Times New Roman" w:cstheme="minorHAnsi"/>
          <w:b/>
          <w:color w:val="000000"/>
          <w:sz w:val="20"/>
          <w:szCs w:val="20"/>
        </w:rPr>
        <w:t>2018</w:t>
      </w:r>
      <w:r w:rsidRPr="007741FA">
        <w:rPr>
          <w:rFonts w:eastAsia="Times New Roman" w:cstheme="minorHAnsi"/>
          <w:color w:val="000000"/>
          <w:sz w:val="20"/>
          <w:szCs w:val="20"/>
        </w:rPr>
        <w:t xml:space="preserve"> .</w:t>
      </w:r>
      <w:r w:rsidRPr="007741FA">
        <w:rPr>
          <w:rFonts w:eastAsia="Times New Roman" w:cstheme="minorHAnsi"/>
          <w:b/>
          <w:color w:val="000000"/>
          <w:sz w:val="20"/>
          <w:szCs w:val="20"/>
        </w:rPr>
        <w:t>(IF:11.675)</w:t>
      </w:r>
    </w:p>
    <w:p w14:paraId="452F7D08" w14:textId="525B2755" w:rsidR="00C41213" w:rsidRPr="00C41213" w:rsidRDefault="00C41213" w:rsidP="00C41213">
      <w:pPr>
        <w:numPr>
          <w:ilvl w:val="0"/>
          <w:numId w:val="1"/>
        </w:numPr>
        <w:tabs>
          <w:tab w:val="left" w:pos="360"/>
        </w:tabs>
        <w:spacing w:after="200" w:line="276" w:lineRule="auto"/>
        <w:ind w:left="360"/>
        <w:jc w:val="both"/>
        <w:rPr>
          <w:rFonts w:eastAsia="Times New Roman" w:cstheme="minorHAnsi"/>
          <w:b/>
          <w:sz w:val="20"/>
          <w:szCs w:val="20"/>
        </w:rPr>
      </w:pPr>
      <w:bookmarkStart w:id="0" w:name="_Hlk60317883"/>
      <w:r w:rsidRPr="007741FA">
        <w:rPr>
          <w:rFonts w:eastAsia="Times New Roman" w:cstheme="minorHAnsi"/>
          <w:b/>
          <w:sz w:val="20"/>
          <w:szCs w:val="20"/>
        </w:rPr>
        <w:t xml:space="preserve">Chaudhuri Z, </w:t>
      </w:r>
      <w:r w:rsidRPr="007741FA">
        <w:rPr>
          <w:rFonts w:eastAsia="Times New Roman" w:cstheme="minorHAnsi"/>
          <w:sz w:val="20"/>
          <w:szCs w:val="20"/>
        </w:rPr>
        <w:t>Demer JL.</w:t>
      </w:r>
      <w:r w:rsidRPr="007741FA">
        <w:rPr>
          <w:rFonts w:eastAsia="Times New Roman" w:cstheme="minorHAnsi"/>
          <w:b/>
          <w:sz w:val="20"/>
          <w:szCs w:val="20"/>
        </w:rPr>
        <w:t xml:space="preserve"> </w:t>
      </w:r>
      <w:r w:rsidRPr="007741FA">
        <w:rPr>
          <w:rFonts w:eastAsia="Times New Roman" w:cstheme="minorHAnsi"/>
          <w:color w:val="1A1A1A"/>
          <w:sz w:val="20"/>
          <w:szCs w:val="20"/>
        </w:rPr>
        <w:t xml:space="preserve">Long-term Surgical Outcomes in the Sagging Eye Syndrome. </w:t>
      </w:r>
      <w:r w:rsidRPr="007741FA">
        <w:rPr>
          <w:rFonts w:eastAsia="Times New Roman" w:cstheme="minorHAnsi"/>
          <w:sz w:val="20"/>
          <w:szCs w:val="20"/>
        </w:rPr>
        <w:t xml:space="preserve">Strabismus. </w:t>
      </w:r>
      <w:r w:rsidRPr="007741FA">
        <w:rPr>
          <w:rFonts w:eastAsia="Times New Roman" w:cstheme="minorHAnsi"/>
          <w:color w:val="000000"/>
          <w:sz w:val="20"/>
          <w:szCs w:val="20"/>
        </w:rPr>
        <w:t xml:space="preserve">Mar;26(1):6-10, </w:t>
      </w:r>
      <w:r w:rsidRPr="007741FA">
        <w:rPr>
          <w:rFonts w:eastAsia="Times New Roman" w:cstheme="minorHAnsi"/>
          <w:b/>
          <w:sz w:val="20"/>
          <w:szCs w:val="20"/>
        </w:rPr>
        <w:t>2018</w:t>
      </w:r>
      <w:r w:rsidRPr="007741FA">
        <w:rPr>
          <w:rFonts w:eastAsia="Times New Roman" w:cstheme="minorHAnsi"/>
          <w:b/>
          <w:color w:val="000000"/>
          <w:sz w:val="20"/>
          <w:szCs w:val="20"/>
        </w:rPr>
        <w:t>.</w:t>
      </w:r>
      <w:r w:rsidRPr="007741FA">
        <w:rPr>
          <w:rFonts w:eastAsia="Times New Roman" w:cstheme="minorHAnsi"/>
          <w:sz w:val="20"/>
          <w:szCs w:val="20"/>
        </w:rPr>
        <w:t xml:space="preserve"> </w:t>
      </w:r>
      <w:r w:rsidRPr="007741FA">
        <w:rPr>
          <w:rFonts w:eastAsia="Times New Roman" w:cstheme="minorHAnsi"/>
          <w:b/>
          <w:sz w:val="20"/>
          <w:szCs w:val="20"/>
        </w:rPr>
        <w:t>(IF: 1.0)</w:t>
      </w:r>
      <w:bookmarkEnd w:id="0"/>
    </w:p>
    <w:p w14:paraId="283F41D7" w14:textId="437686EA" w:rsidR="00C41213" w:rsidRPr="00C41213" w:rsidRDefault="00C41213" w:rsidP="00C41213">
      <w:pPr>
        <w:numPr>
          <w:ilvl w:val="0"/>
          <w:numId w:val="1"/>
        </w:numPr>
        <w:tabs>
          <w:tab w:val="left" w:pos="360"/>
        </w:tabs>
        <w:spacing w:after="200" w:line="276" w:lineRule="auto"/>
        <w:ind w:left="360"/>
        <w:jc w:val="both"/>
        <w:rPr>
          <w:rFonts w:eastAsia="Times New Roman" w:cstheme="minorHAnsi"/>
          <w:b/>
          <w:sz w:val="20"/>
          <w:szCs w:val="20"/>
        </w:rPr>
      </w:pPr>
      <w:bookmarkStart w:id="1" w:name="_Hlk49518027"/>
      <w:r w:rsidRPr="007741FA">
        <w:rPr>
          <w:rFonts w:eastAsia="Times New Roman" w:cstheme="minorHAnsi"/>
          <w:b/>
          <w:sz w:val="20"/>
          <w:szCs w:val="20"/>
        </w:rPr>
        <w:t xml:space="preserve">Chaudhuri Z, </w:t>
      </w:r>
      <w:r w:rsidRPr="007741FA">
        <w:rPr>
          <w:rFonts w:eastAsia="Times New Roman" w:cstheme="minorHAnsi"/>
          <w:sz w:val="20"/>
          <w:szCs w:val="20"/>
        </w:rPr>
        <w:t xml:space="preserve">John J, Aneja S, Thelma BK. Pedigree analysis of familial primary concomitant horizontal strabismus in northern India. Strabismus.Dec;25(4):200-213, </w:t>
      </w:r>
      <w:r w:rsidRPr="007741FA">
        <w:rPr>
          <w:rFonts w:eastAsia="Times New Roman" w:cstheme="minorHAnsi"/>
          <w:b/>
          <w:sz w:val="20"/>
          <w:szCs w:val="20"/>
        </w:rPr>
        <w:t>2017</w:t>
      </w:r>
      <w:r w:rsidRPr="007741FA">
        <w:rPr>
          <w:rFonts w:eastAsia="Times New Roman" w:cstheme="minorHAnsi"/>
          <w:sz w:val="20"/>
          <w:szCs w:val="20"/>
        </w:rPr>
        <w:t xml:space="preserve"> </w:t>
      </w:r>
      <w:r w:rsidRPr="007741FA">
        <w:rPr>
          <w:rFonts w:eastAsia="Times New Roman" w:cstheme="minorHAnsi"/>
          <w:b/>
          <w:sz w:val="20"/>
          <w:szCs w:val="20"/>
        </w:rPr>
        <w:t>(IF: 1.0)</w:t>
      </w:r>
      <w:bookmarkEnd w:id="1"/>
    </w:p>
    <w:p w14:paraId="1DCD8C2E" w14:textId="77777777" w:rsidR="00C41213" w:rsidRPr="007741FA" w:rsidRDefault="00C41213" w:rsidP="00C41213">
      <w:pPr>
        <w:numPr>
          <w:ilvl w:val="0"/>
          <w:numId w:val="1"/>
        </w:numPr>
        <w:tabs>
          <w:tab w:val="left" w:pos="360"/>
        </w:tabs>
        <w:spacing w:after="200" w:line="276" w:lineRule="auto"/>
        <w:ind w:left="360"/>
        <w:jc w:val="both"/>
        <w:rPr>
          <w:rFonts w:eastAsia="Times New Roman" w:cstheme="minorHAnsi"/>
          <w:b/>
          <w:sz w:val="20"/>
          <w:szCs w:val="20"/>
        </w:rPr>
      </w:pPr>
      <w:r w:rsidRPr="007741FA">
        <w:rPr>
          <w:rFonts w:eastAsia="Times New Roman" w:cstheme="minorHAnsi"/>
          <w:b/>
          <w:sz w:val="20"/>
          <w:szCs w:val="20"/>
        </w:rPr>
        <w:t xml:space="preserve">Chaudhuri Z, </w:t>
      </w:r>
      <w:r w:rsidRPr="007741FA">
        <w:rPr>
          <w:rFonts w:eastAsia="Times New Roman" w:cstheme="minorHAnsi"/>
          <w:sz w:val="20"/>
          <w:szCs w:val="20"/>
        </w:rPr>
        <w:t xml:space="preserve">Demer JL. Graded vertical rectus tenotomy for small-angle cyclovertical strabismus in sagging eye syndrome. </w:t>
      </w:r>
      <w:r w:rsidRPr="007741FA">
        <w:rPr>
          <w:rFonts w:eastAsia="Times New Roman" w:cstheme="minorHAnsi"/>
          <w:color w:val="000000"/>
          <w:sz w:val="20"/>
          <w:szCs w:val="20"/>
        </w:rPr>
        <w:t xml:space="preserve">Br J Ophthalmol. May; 100(5): 648-51, </w:t>
      </w:r>
      <w:r w:rsidRPr="007741FA">
        <w:rPr>
          <w:rFonts w:eastAsia="Times New Roman" w:cstheme="minorHAnsi"/>
          <w:b/>
          <w:color w:val="000000"/>
          <w:sz w:val="20"/>
          <w:szCs w:val="20"/>
        </w:rPr>
        <w:t>2016</w:t>
      </w:r>
      <w:r w:rsidRPr="007741FA">
        <w:rPr>
          <w:rFonts w:eastAsia="Times New Roman" w:cstheme="minorHAnsi"/>
          <w:color w:val="000000"/>
          <w:sz w:val="20"/>
          <w:szCs w:val="20"/>
        </w:rPr>
        <w:t xml:space="preserve"> </w:t>
      </w:r>
      <w:r w:rsidRPr="007741FA">
        <w:rPr>
          <w:rFonts w:eastAsia="Times New Roman" w:cstheme="minorHAnsi"/>
          <w:sz w:val="20"/>
          <w:szCs w:val="20"/>
        </w:rPr>
        <w:t xml:space="preserve"> </w:t>
      </w:r>
      <w:r w:rsidRPr="007741FA">
        <w:rPr>
          <w:rFonts w:eastAsia="Times New Roman" w:cstheme="minorHAnsi"/>
          <w:b/>
          <w:sz w:val="20"/>
          <w:szCs w:val="20"/>
        </w:rPr>
        <w:t>(IF: 2.9)</w:t>
      </w:r>
    </w:p>
    <w:p w14:paraId="0189FA92" w14:textId="77777777" w:rsidR="00C41213" w:rsidRPr="00246824" w:rsidRDefault="00C41213" w:rsidP="00C41213">
      <w:pPr>
        <w:spacing w:after="200" w:line="276" w:lineRule="auto"/>
        <w:rPr>
          <w:rFonts w:eastAsia="Times New Roman" w:cstheme="minorHAnsi"/>
          <w:b/>
          <w:color w:val="000000"/>
          <w:sz w:val="20"/>
          <w:szCs w:val="20"/>
        </w:rPr>
      </w:pPr>
    </w:p>
    <w:p w14:paraId="45CBE8CB" w14:textId="77777777" w:rsidR="00E33B36" w:rsidRPr="00E33B36" w:rsidRDefault="00E33B36" w:rsidP="00E33B36">
      <w:pPr>
        <w:widowControl w:val="0"/>
        <w:tabs>
          <w:tab w:val="left" w:pos="384"/>
        </w:tabs>
        <w:spacing w:after="0" w:line="240" w:lineRule="auto"/>
        <w:ind w:right="117"/>
        <w:rPr>
          <w:rFonts w:ascii="Calibri" w:eastAsia="Calibri" w:hAnsi="Calibri" w:cs="Calibri"/>
          <w:sz w:val="18"/>
          <w:lang w:val="en-GB"/>
        </w:rPr>
      </w:pPr>
    </w:p>
    <w:p w14:paraId="7D6E868C" w14:textId="77777777" w:rsidR="00E33B36" w:rsidRPr="00E33B36" w:rsidRDefault="00E33B36" w:rsidP="00E33B36">
      <w:pPr>
        <w:widowControl w:val="0"/>
        <w:spacing w:after="0" w:line="200" w:lineRule="exact"/>
        <w:jc w:val="both"/>
        <w:rPr>
          <w:rFonts w:ascii="Calibri" w:eastAsia="Tw Cen MT" w:hAnsi="Calibri" w:cs="Tw Cen MT"/>
          <w:lang w:val="en-US"/>
        </w:rPr>
        <w:sectPr w:rsidR="00E33B36" w:rsidRPr="00E33B36">
          <w:type w:val="continuous"/>
          <w:pgSz w:w="11910" w:h="16840"/>
          <w:pgMar w:top="1740" w:right="600" w:bottom="840" w:left="620" w:header="720" w:footer="720" w:gutter="0"/>
          <w:cols w:num="2" w:space="720" w:equalWidth="0">
            <w:col w:w="5214" w:space="138"/>
            <w:col w:w="5338"/>
          </w:cols>
        </w:sectPr>
      </w:pPr>
      <w:r w:rsidRPr="00E33B36">
        <w:rPr>
          <w:rFonts w:ascii="Calibri" w:eastAsia="Tw Cen MT" w:hAnsi="Calibri" w:cs="Tw Cen MT"/>
          <w:lang w:val="en-US"/>
        </w:rPr>
        <w:t xml:space="preserve">   </w:t>
      </w:r>
    </w:p>
    <w:p w14:paraId="142CB068" w14:textId="77777777" w:rsidR="00E33B36" w:rsidRPr="00E33B36" w:rsidRDefault="00E33B36" w:rsidP="00E33B36">
      <w:pPr>
        <w:widowControl w:val="0"/>
        <w:spacing w:after="0" w:line="240" w:lineRule="auto"/>
        <w:rPr>
          <w:rFonts w:ascii="Calibri" w:eastAsia="Tw Cen MT" w:hAnsi="Tw Cen MT" w:cs="Tw Cen MT"/>
          <w:sz w:val="20"/>
          <w:szCs w:val="18"/>
          <w:lang w:val="en-US"/>
        </w:rPr>
      </w:pPr>
    </w:p>
    <w:p w14:paraId="11784FE3" w14:textId="4E896C31" w:rsidR="00E33B36" w:rsidRPr="00E33B36" w:rsidRDefault="00E33B36" w:rsidP="00E33B36">
      <w:pPr>
        <w:widowControl w:val="0"/>
        <w:spacing w:after="0" w:line="40" w:lineRule="exact"/>
        <w:ind w:left="2202"/>
        <w:rPr>
          <w:rFonts w:ascii="Calibri" w:eastAsia="Tw Cen MT" w:hAnsi="Tw Cen MT" w:cs="Tw Cen MT"/>
          <w:sz w:val="4"/>
          <w:szCs w:val="18"/>
          <w:lang w:val="en-US"/>
        </w:rPr>
      </w:pPr>
      <w:r w:rsidRPr="00E33B36">
        <w:rPr>
          <w:rFonts w:ascii="Tw Cen MT" w:eastAsia="Tw Cen MT" w:hAnsi="Tw Cen MT" w:cs="Tw Cen MT"/>
          <w:noProof/>
          <w:sz w:val="18"/>
          <w:szCs w:val="18"/>
          <w:lang w:val="en-US"/>
        </w:rPr>
        <mc:AlternateContent>
          <mc:Choice Requires="wpg">
            <w:drawing>
              <wp:inline distT="0" distB="0" distL="0" distR="0" wp14:anchorId="251A9159" wp14:editId="5EC1DEB3">
                <wp:extent cx="3975735" cy="25400"/>
                <wp:effectExtent l="0" t="0" r="0" b="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4B49EE" id="Group 1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F9D8397" w14:textId="329FD4C9" w:rsidR="00E33B36" w:rsidRDefault="00E33B36" w:rsidP="00E33B36">
      <w:pPr>
        <w:widowControl w:val="0"/>
        <w:spacing w:before="92" w:after="0" w:line="240" w:lineRule="auto"/>
        <w:ind w:right="4234"/>
        <w:rPr>
          <w:rFonts w:ascii="Arial" w:eastAsia="Tw Cen MT" w:hAnsi="Tw Cen MT" w:cs="Tw Cen MT"/>
          <w:color w:val="BF5A14"/>
          <w:lang w:val="en-US"/>
        </w:rPr>
      </w:pPr>
      <w:r w:rsidRPr="00E33B36">
        <w:rPr>
          <w:rFonts w:ascii="Tw Cen MT" w:eastAsia="Tw Cen MT" w:hAnsi="Tw Cen MT" w:cs="Tw Cen MT"/>
          <w:noProof/>
          <w:lang w:val="en-US"/>
        </w:rPr>
        <w:t xml:space="preserve">              </w:t>
      </w:r>
      <w:r w:rsidRPr="00E33B36">
        <w:rPr>
          <w:rFonts w:ascii="Tw Cen MT" w:eastAsia="Tw Cen MT" w:hAnsi="Tw Cen MT" w:cs="Tw Cen MT"/>
          <w:noProof/>
          <w:lang w:val="en-US" w:bidi="te-IN"/>
        </w:rPr>
        <w:drawing>
          <wp:inline distT="0" distB="0" distL="0" distR="0" wp14:anchorId="1248B9BC" wp14:editId="74975F13">
            <wp:extent cx="628650" cy="622300"/>
            <wp:effectExtent l="0" t="0" r="0" b="6350"/>
            <wp:docPr id="1" name="Picture 1" descr="Description: 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8650" cy="622300"/>
                    </a:xfrm>
                    <a:prstGeom prst="rect">
                      <a:avLst/>
                    </a:prstGeom>
                    <a:noFill/>
                    <a:ln>
                      <a:noFill/>
                    </a:ln>
                  </pic:spPr>
                </pic:pic>
              </a:graphicData>
            </a:graphic>
          </wp:inline>
        </w:drawing>
      </w:r>
      <w:r w:rsidRPr="00E33B36">
        <w:rPr>
          <w:rFonts w:ascii="Arial" w:eastAsia="Tw Cen MT" w:hAnsi="Tw Cen MT" w:cs="Tw Cen MT"/>
          <w:color w:val="BF5A14"/>
          <w:lang w:val="en-US"/>
        </w:rPr>
        <w:t>Biography (150 word limit)</w:t>
      </w:r>
    </w:p>
    <w:p w14:paraId="38B2EED9" w14:textId="3AE6D5E9" w:rsidR="00C41213" w:rsidRPr="00E33B36" w:rsidRDefault="00C41213" w:rsidP="00E33B36">
      <w:pPr>
        <w:widowControl w:val="0"/>
        <w:spacing w:before="92" w:after="0" w:line="240" w:lineRule="auto"/>
        <w:ind w:right="4234"/>
        <w:rPr>
          <w:rFonts w:ascii="Arial" w:eastAsia="Tw Cen MT" w:hAnsi="Tw Cen MT" w:cs="Tw Cen MT"/>
          <w:lang w:val="en-US"/>
        </w:rPr>
      </w:pPr>
      <w:r>
        <w:rPr>
          <w:rFonts w:ascii="Calibri" w:hAnsi="Calibri" w:cs="Calibri"/>
          <w:color w:val="222222"/>
          <w:shd w:val="clear" w:color="auto" w:fill="FFFFFF"/>
        </w:rPr>
        <w:t xml:space="preserve">Zia Chaudhuri, MS, DNB, MNAMS, FRCS (Glasg), FICO, PhD (Genetics), </w:t>
      </w:r>
      <w:r>
        <w:rPr>
          <w:rFonts w:ascii="Calibri" w:hAnsi="Calibri" w:cs="Calibri"/>
          <w:color w:val="222222"/>
          <w:shd w:val="clear" w:color="auto" w:fill="FFFFFF"/>
        </w:rPr>
        <w:lastRenderedPageBreak/>
        <w:t>FAMS is a Professor of Ophthalmology at Lady Hardinge Medical College and Associated Hospitals, University of Delhi and Dr RML Hospital and ABVIMS, New Delhi, India, with speciality training in strabismus, pediatric-ophthalmology, neuro-ophthalmology, nystagmus and genetics. She has over 150 publications</w:t>
      </w:r>
      <w:r>
        <w:rPr>
          <w:rFonts w:ascii="Calibri" w:hAnsi="Calibri" w:cs="Calibri"/>
          <w:color w:val="222222"/>
          <w:shd w:val="clear" w:color="auto" w:fill="FFFFFF"/>
        </w:rPr>
        <w:t xml:space="preserve">, </w:t>
      </w:r>
      <w:r>
        <w:rPr>
          <w:rFonts w:ascii="Calibri" w:hAnsi="Calibri" w:cs="Calibri"/>
          <w:color w:val="222222"/>
          <w:shd w:val="clear" w:color="auto" w:fill="FFFFFF"/>
        </w:rPr>
        <w:t>has edited 5 books in ophthalmology</w:t>
      </w:r>
      <w:r>
        <w:rPr>
          <w:rFonts w:ascii="Calibri" w:hAnsi="Calibri" w:cs="Calibri"/>
          <w:color w:val="222222"/>
          <w:shd w:val="clear" w:color="auto" w:fill="FFFFFF"/>
        </w:rPr>
        <w:t>,</w:t>
      </w:r>
      <w:r>
        <w:rPr>
          <w:rFonts w:ascii="Calibri" w:hAnsi="Calibri" w:cs="Calibri"/>
          <w:color w:val="222222"/>
          <w:shd w:val="clear" w:color="auto" w:fill="FFFFFF"/>
        </w:rPr>
        <w:t xml:space="preserve"> has extensive teaching experience of over 24 years in guiding and mentoring undergraduate medical students, postgraduate students in ophthalmology, research fellows in biotechnology and genetics, nursing officers, technical staff, optometrists </w:t>
      </w:r>
      <w:r>
        <w:rPr>
          <w:rFonts w:ascii="Calibri" w:hAnsi="Calibri" w:cs="Calibri"/>
          <w:color w:val="222222"/>
          <w:shd w:val="clear" w:color="auto" w:fill="FFFFFF"/>
        </w:rPr>
        <w:t>and</w:t>
      </w:r>
      <w:r>
        <w:rPr>
          <w:rFonts w:ascii="Calibri" w:hAnsi="Calibri" w:cs="Calibri"/>
          <w:color w:val="222222"/>
          <w:shd w:val="clear" w:color="auto" w:fill="FFFFFF"/>
        </w:rPr>
        <w:t xml:space="preserve"> international mentees, under the aegis of the Association of Research in Vision and Ophthalmology (ARVO). She </w:t>
      </w:r>
      <w:r w:rsidR="00BD5F4D">
        <w:rPr>
          <w:rFonts w:ascii="Calibri" w:hAnsi="Calibri" w:cs="Calibri"/>
          <w:color w:val="222222"/>
          <w:shd w:val="clear" w:color="auto" w:fill="FFFFFF"/>
        </w:rPr>
        <w:t>is</w:t>
      </w:r>
      <w:r>
        <w:rPr>
          <w:rFonts w:ascii="Calibri" w:hAnsi="Calibri" w:cs="Calibri"/>
          <w:color w:val="222222"/>
          <w:shd w:val="clear" w:color="auto" w:fill="FFFFFF"/>
        </w:rPr>
        <w:t xml:space="preserve"> principal-investigator of 03 scientific projects, reviews scientific articles in high impact peer reviewed journals</w:t>
      </w:r>
      <w:r>
        <w:rPr>
          <w:rFonts w:ascii="Calibri" w:hAnsi="Calibri" w:cs="Calibri"/>
          <w:color w:val="222222"/>
          <w:shd w:val="clear" w:color="auto" w:fill="FFFFFF"/>
        </w:rPr>
        <w:t xml:space="preserve">, and </w:t>
      </w:r>
      <w:r>
        <w:rPr>
          <w:rFonts w:ascii="Calibri" w:hAnsi="Calibri" w:cs="Calibri"/>
          <w:color w:val="222222"/>
          <w:shd w:val="clear" w:color="auto" w:fill="FFFFFF"/>
        </w:rPr>
        <w:t xml:space="preserve">is an editor of peer-reviewed indexed journals in ophthalmology namely, "Strabismus" and "BMC Ophthalmology" She </w:t>
      </w:r>
      <w:r>
        <w:rPr>
          <w:rFonts w:ascii="Calibri" w:hAnsi="Calibri" w:cs="Calibri"/>
          <w:color w:val="222222"/>
          <w:shd w:val="clear" w:color="auto" w:fill="FFFFFF"/>
        </w:rPr>
        <w:t>is a doctorate in</w:t>
      </w:r>
      <w:r>
        <w:rPr>
          <w:rFonts w:ascii="Calibri" w:hAnsi="Calibri" w:cs="Calibri"/>
          <w:color w:val="222222"/>
          <w:shd w:val="clear" w:color="auto" w:fill="FFFFFF"/>
        </w:rPr>
        <w:t xml:space="preserve"> genetics </w:t>
      </w:r>
      <w:r>
        <w:rPr>
          <w:rFonts w:ascii="Calibri" w:hAnsi="Calibri" w:cs="Calibri"/>
          <w:color w:val="222222"/>
          <w:shd w:val="clear" w:color="auto" w:fill="FFFFFF"/>
        </w:rPr>
        <w:t>with</w:t>
      </w:r>
      <w:r>
        <w:rPr>
          <w:rFonts w:ascii="Calibri" w:hAnsi="Calibri" w:cs="Calibri"/>
          <w:color w:val="222222"/>
          <w:shd w:val="clear" w:color="auto" w:fill="FFFFFF"/>
        </w:rPr>
        <w:t xml:space="preserve"> work on the genetics of strabismus</w:t>
      </w:r>
      <w:r>
        <w:rPr>
          <w:rFonts w:ascii="Calibri" w:hAnsi="Calibri" w:cs="Calibri"/>
          <w:color w:val="222222"/>
          <w:shd w:val="clear" w:color="auto" w:fill="FFFFFF"/>
        </w:rPr>
        <w:t>.</w:t>
      </w:r>
    </w:p>
    <w:p w14:paraId="47AE8720" w14:textId="24FAF980" w:rsidR="00E33B36" w:rsidRPr="00E33B36" w:rsidRDefault="00E33B36" w:rsidP="00E33B36">
      <w:pPr>
        <w:widowControl w:val="0"/>
        <w:spacing w:before="62" w:after="0" w:line="240" w:lineRule="auto"/>
        <w:ind w:left="4217" w:right="4235"/>
        <w:jc w:val="center"/>
        <w:rPr>
          <w:rFonts w:ascii="Arial" w:eastAsia="Tw Cen MT" w:hAnsi="Tw Cen MT" w:cs="Tw Cen MT"/>
          <w:sz w:val="14"/>
          <w:lang w:val="en-US"/>
        </w:rPr>
      </w:pPr>
      <w:r w:rsidRPr="00E33B36">
        <w:rPr>
          <w:rFonts w:ascii="Arial" w:eastAsia="Tw Cen MT" w:hAnsi="Tw Cen MT" w:cs="Tw Cen MT"/>
          <w:sz w:val="14"/>
          <w:lang w:val="en-US"/>
        </w:rPr>
        <w:t xml:space="preserve">Email: </w:t>
      </w:r>
      <w:hyperlink r:id="rId8" w:history="1">
        <w:r w:rsidR="0089070D" w:rsidRPr="00AC1F7E">
          <w:rPr>
            <w:rStyle w:val="Hyperlink"/>
            <w:rFonts w:ascii="Arial" w:eastAsia="Tw Cen MT" w:hAnsi="Tw Cen MT" w:cs="Tw Cen MT"/>
            <w:sz w:val="14"/>
            <w:lang w:val="en-US"/>
          </w:rPr>
          <w:t>ziachaudhuri2@gmail.com</w:t>
        </w:r>
      </w:hyperlink>
    </w:p>
    <w:p w14:paraId="0D82AD05" w14:textId="0B90F1C8" w:rsidR="00E33B36" w:rsidRPr="00E33B36" w:rsidRDefault="00E33B36" w:rsidP="00E33B36">
      <w:pPr>
        <w:widowControl w:val="0"/>
        <w:spacing w:before="2" w:after="0" w:line="240" w:lineRule="auto"/>
        <w:rPr>
          <w:rFonts w:ascii="Arial" w:eastAsia="Tw Cen MT" w:hAnsi="Tw Cen MT" w:cs="Tw Cen MT"/>
          <w:sz w:val="19"/>
          <w:szCs w:val="18"/>
          <w:lang w:val="en-US"/>
        </w:rPr>
      </w:pPr>
      <w:r w:rsidRPr="00E33B36">
        <w:rPr>
          <w:rFonts w:ascii="Tw Cen MT" w:eastAsia="Tw Cen MT" w:hAnsi="Tw Cen MT" w:cs="Tw Cen MT"/>
          <w:noProof/>
          <w:sz w:val="18"/>
          <w:szCs w:val="18"/>
          <w:lang w:val="en-US"/>
        </w:rPr>
        <mc:AlternateContent>
          <mc:Choice Requires="wps">
            <w:drawing>
              <wp:anchor distT="4294967295" distB="4294967295" distL="0" distR="0" simplePos="0" relativeHeight="251659264" behindDoc="0" locked="0" layoutInCell="1" allowOverlap="1" wp14:anchorId="0746DC47" wp14:editId="0B6A6427">
                <wp:simplePos x="0" y="0"/>
                <wp:positionH relativeFrom="page">
                  <wp:posOffset>2058670</wp:posOffset>
                </wp:positionH>
                <wp:positionV relativeFrom="paragraph">
                  <wp:posOffset>168274</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DBD9AA" id="Straight Connector 13" o:spid="_x0000_s1026" style="position:absolute;z-index:25165926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69345CD9" w14:textId="77777777" w:rsidR="00E33B36" w:rsidRPr="00E33B36" w:rsidRDefault="00E33B36" w:rsidP="00E33B36">
      <w:pPr>
        <w:widowControl w:val="0"/>
        <w:spacing w:after="0" w:line="240" w:lineRule="auto"/>
        <w:rPr>
          <w:rFonts w:ascii="Arial" w:eastAsia="Tw Cen MT" w:hAnsi="Tw Cen MT" w:cs="Tw Cen MT"/>
          <w:sz w:val="20"/>
          <w:szCs w:val="18"/>
          <w:lang w:val="en-US"/>
        </w:rPr>
      </w:pPr>
    </w:p>
    <w:p w14:paraId="18DAEE57" w14:textId="77777777" w:rsidR="00E33B36" w:rsidRPr="00E33B36" w:rsidRDefault="00E33B36" w:rsidP="00E33B36">
      <w:pPr>
        <w:widowControl w:val="0"/>
        <w:spacing w:after="0" w:line="240" w:lineRule="auto"/>
        <w:rPr>
          <w:rFonts w:ascii="Arial" w:eastAsia="Tw Cen MT" w:hAnsi="Tw Cen MT" w:cs="Tw Cen MT"/>
          <w:sz w:val="20"/>
          <w:szCs w:val="18"/>
          <w:lang w:val="en-US"/>
        </w:rPr>
      </w:pPr>
    </w:p>
    <w:p w14:paraId="21F63C99" w14:textId="77777777" w:rsidR="00E33B36" w:rsidRPr="00E33B36" w:rsidRDefault="00E33B36" w:rsidP="00E33B36">
      <w:pPr>
        <w:widowControl w:val="0"/>
        <w:spacing w:before="7" w:after="0" w:line="240" w:lineRule="auto"/>
        <w:rPr>
          <w:rFonts w:ascii="Arial" w:eastAsia="Tw Cen MT" w:hAnsi="Tw Cen MT" w:cs="Tw Cen MT"/>
          <w:sz w:val="29"/>
          <w:szCs w:val="18"/>
          <w:lang w:val="en-US"/>
        </w:rPr>
      </w:pPr>
    </w:p>
    <w:p w14:paraId="7E7F8DDF" w14:textId="77777777" w:rsidR="00E33B36" w:rsidRPr="00E33B36" w:rsidRDefault="00E33B36" w:rsidP="00E33B36">
      <w:pPr>
        <w:widowControl w:val="0"/>
        <w:spacing w:before="39" w:after="0" w:line="240" w:lineRule="auto"/>
        <w:ind w:left="100"/>
        <w:rPr>
          <w:rFonts w:ascii="Minion Pro" w:eastAsia="Tw Cen MT" w:hAnsi="Tw Cen MT" w:cs="Tw Cen MT"/>
          <w:b/>
          <w:sz w:val="20"/>
          <w:lang w:val="en-US"/>
        </w:rPr>
      </w:pPr>
      <w:r w:rsidRPr="00E33B36">
        <w:rPr>
          <w:rFonts w:ascii="Minion Pro" w:eastAsia="Tw Cen MT" w:hAnsi="Tw Cen MT" w:cs="Tw Cen MT"/>
          <w:b/>
          <w:sz w:val="20"/>
          <w:lang w:val="en-US"/>
        </w:rPr>
        <w:t>Notes/Comments:</w:t>
      </w:r>
    </w:p>
    <w:p w14:paraId="7E72B179" w14:textId="77777777" w:rsidR="00E33B36" w:rsidRPr="00E33B36" w:rsidRDefault="00E33B36" w:rsidP="00E33B36">
      <w:pPr>
        <w:widowControl w:val="0"/>
        <w:spacing w:after="0" w:line="240" w:lineRule="auto"/>
        <w:rPr>
          <w:rFonts w:ascii="Minion Pro" w:eastAsia="Tw Cen MT" w:hAnsi="Tw Cen MT" w:cs="Tw Cen MT"/>
          <w:sz w:val="24"/>
          <w:lang w:val="en-US"/>
        </w:rPr>
        <w:sectPr w:rsidR="00E33B36" w:rsidRPr="00E33B36">
          <w:type w:val="continuous"/>
          <w:pgSz w:w="11910" w:h="16840"/>
          <w:pgMar w:top="1740" w:right="600" w:bottom="840" w:left="620" w:header="720" w:footer="720" w:gutter="0"/>
          <w:cols w:space="720"/>
        </w:sectPr>
      </w:pPr>
    </w:p>
    <w:p w14:paraId="110F6CC4" w14:textId="77777777" w:rsidR="00E33B36" w:rsidRPr="00E33B36" w:rsidRDefault="00E33B36" w:rsidP="00E33B36">
      <w:pPr>
        <w:widowControl w:val="0"/>
        <w:spacing w:before="3" w:after="0" w:line="240" w:lineRule="auto"/>
        <w:rPr>
          <w:rFonts w:ascii="Minion Pro" w:eastAsia="Tw Cen MT" w:hAnsi="Tw Cen MT" w:cs="Tw Cen MT"/>
          <w:sz w:val="26"/>
          <w:szCs w:val="18"/>
          <w:lang w:val="en-US"/>
        </w:rPr>
      </w:pPr>
    </w:p>
    <w:p w14:paraId="02C6D11D" w14:textId="1D0C6678" w:rsidR="00505BFA" w:rsidRDefault="00172E3A">
      <w:r>
        <w:t xml:space="preserve">The </w:t>
      </w:r>
      <w:r w:rsidR="0089070D">
        <w:t>Department of Biotechnology (DBT), Government of India’s Grant in aid No BT/PR27223/MED/12809/2017</w:t>
      </w:r>
      <w:r>
        <w:t xml:space="preserve"> for the extra-mural project under the supervision of Prof Zia Chaudhuri is deeply acknowledged</w:t>
      </w:r>
      <w:r w:rsidR="0089070D">
        <w:t xml:space="preserve">; </w:t>
      </w:r>
    </w:p>
    <w:p w14:paraId="09F34459" w14:textId="6B69CCFC" w:rsidR="00172E3A" w:rsidRDefault="00172E3A">
      <w:r>
        <w:t xml:space="preserve">Lab colleagues, namely, Pinaki Ranjan Debnath, Roli Budhwar, Anjali Dabral, Sourav Ganguly and Pooja </w:t>
      </w:r>
      <w:proofErr w:type="spellStart"/>
      <w:r>
        <w:t>Sablaniya</w:t>
      </w:r>
      <w:proofErr w:type="spellEnd"/>
      <w:r>
        <w:t xml:space="preserve"> are acknowledged for their work and support</w:t>
      </w:r>
    </w:p>
    <w:sectPr w:rsidR="00172E3A"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yriad Pro">
    <w:altName w:val="Corbel"/>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nion Pro">
    <w:altName w:val="Cambria Math"/>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152C3" w14:textId="611A4370" w:rsidR="00AE3E37" w:rsidRDefault="00E33B36">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49D9D2CE" wp14:editId="4CA13FD2">
              <wp:simplePos x="0" y="0"/>
              <wp:positionH relativeFrom="page">
                <wp:posOffset>444500</wp:posOffset>
              </wp:positionH>
              <wp:positionV relativeFrom="page">
                <wp:posOffset>10144760</wp:posOffset>
              </wp:positionV>
              <wp:extent cx="2136140" cy="248920"/>
              <wp:effectExtent l="0" t="0" r="16510" b="1778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83CDE" w14:textId="77777777" w:rsidR="00AE3E37" w:rsidRPr="00227290" w:rsidRDefault="00172E3A">
                          <w:pPr>
                            <w:spacing w:line="184" w:lineRule="exact"/>
                            <w:ind w:left="20" w:right="-12"/>
                            <w:rPr>
                              <w:rFonts w:ascii="Arial"/>
                              <w:color w:val="FFFFFF"/>
                              <w:sz w:val="16"/>
                            </w:rPr>
                          </w:pPr>
                          <w:r w:rsidRPr="00227290">
                            <w:rPr>
                              <w:rFonts w:ascii="Arial"/>
                              <w:color w:val="FFFFFF"/>
                              <w:sz w:val="16"/>
                            </w:rPr>
                            <w:t>J Pain Relief</w:t>
                          </w:r>
                        </w:p>
                        <w:p w14:paraId="1453F282" w14:textId="77777777" w:rsidR="00AE3E37" w:rsidRPr="00227290" w:rsidRDefault="00172E3A">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D9D2CE" id="_x0000_t202" coordsize="21600,21600" o:spt="202" path="m,l,21600r21600,l21600,xe">
              <v:stroke joinstyle="miter"/>
              <v:path gradientshapeok="t" o:connecttype="rect"/>
            </v:shapetype>
            <v:shape id="Text Box 9"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5E483CDE" w14:textId="77777777" w:rsidR="00AE3E37" w:rsidRPr="00227290" w:rsidRDefault="00172E3A">
                    <w:pPr>
                      <w:spacing w:line="184" w:lineRule="exact"/>
                      <w:ind w:left="20" w:right="-12"/>
                      <w:rPr>
                        <w:rFonts w:ascii="Arial"/>
                        <w:color w:val="FFFFFF"/>
                        <w:sz w:val="16"/>
                      </w:rPr>
                    </w:pPr>
                    <w:r w:rsidRPr="00227290">
                      <w:rPr>
                        <w:rFonts w:ascii="Arial"/>
                        <w:color w:val="FFFFFF"/>
                        <w:sz w:val="16"/>
                      </w:rPr>
                      <w:t>J Pain Relief</w:t>
                    </w:r>
                  </w:p>
                  <w:p w14:paraId="1453F282" w14:textId="77777777" w:rsidR="00AE3E37" w:rsidRPr="00227290" w:rsidRDefault="00172E3A">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4478F291" wp14:editId="143A85F8">
              <wp:simplePos x="0" y="0"/>
              <wp:positionH relativeFrom="page">
                <wp:posOffset>3201670</wp:posOffset>
              </wp:positionH>
              <wp:positionV relativeFrom="page">
                <wp:posOffset>10147935</wp:posOffset>
              </wp:positionV>
              <wp:extent cx="1167130" cy="316865"/>
              <wp:effectExtent l="0" t="0" r="13970" b="698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873452" w14:textId="77777777" w:rsidR="00AE3E37" w:rsidRPr="00227290" w:rsidRDefault="00172E3A">
                          <w:pPr>
                            <w:spacing w:line="269" w:lineRule="exact"/>
                            <w:jc w:val="center"/>
                            <w:rPr>
                              <w:rFonts w:ascii="Impact"/>
                              <w:color w:val="FFFFFF"/>
                              <w:sz w:val="24"/>
                            </w:rPr>
                          </w:pPr>
                          <w:r w:rsidRPr="00227290">
                            <w:rPr>
                              <w:rFonts w:ascii="Impact"/>
                              <w:color w:val="FFFFFF"/>
                              <w:sz w:val="24"/>
                            </w:rPr>
                            <w:t>Fibromyalgia 2016</w:t>
                          </w:r>
                        </w:p>
                        <w:p w14:paraId="4CEEFDBD" w14:textId="77777777" w:rsidR="00AE3E37" w:rsidRPr="00227290" w:rsidRDefault="00172E3A">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78F291" id="Text Box 8"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3B873452" w14:textId="77777777" w:rsidR="00AE3E37" w:rsidRPr="00227290" w:rsidRDefault="00172E3A">
                    <w:pPr>
                      <w:spacing w:line="269" w:lineRule="exact"/>
                      <w:jc w:val="center"/>
                      <w:rPr>
                        <w:rFonts w:ascii="Impact"/>
                        <w:color w:val="FFFFFF"/>
                        <w:sz w:val="24"/>
                      </w:rPr>
                    </w:pPr>
                    <w:r w:rsidRPr="00227290">
                      <w:rPr>
                        <w:rFonts w:ascii="Impact"/>
                        <w:color w:val="FFFFFF"/>
                        <w:sz w:val="24"/>
                      </w:rPr>
                      <w:t>Fibromyalgia 2016</w:t>
                    </w:r>
                  </w:p>
                  <w:p w14:paraId="4CEEFDBD" w14:textId="77777777" w:rsidR="00AE3E37" w:rsidRPr="00227290" w:rsidRDefault="00172E3A">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6EFE7452" wp14:editId="33410AE8">
              <wp:simplePos x="0" y="0"/>
              <wp:positionH relativeFrom="page">
                <wp:posOffset>5955030</wp:posOffset>
              </wp:positionH>
              <wp:positionV relativeFrom="page">
                <wp:posOffset>10144760</wp:posOffset>
              </wp:positionV>
              <wp:extent cx="1160780" cy="330835"/>
              <wp:effectExtent l="0" t="0" r="1270" b="1206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3CDB8" w14:textId="77777777" w:rsidR="00AE3E37" w:rsidRPr="00227290" w:rsidRDefault="00172E3A">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14:paraId="3727CEFB" w14:textId="77777777" w:rsidR="00AE3E37" w:rsidRPr="00227290" w:rsidRDefault="00172E3A">
                          <w:pPr>
                            <w:spacing w:before="116"/>
                            <w:ind w:right="18"/>
                            <w:jc w:val="right"/>
                            <w:rPr>
                              <w:rFonts w:ascii="Minion Pro"/>
                              <w:color w:val="FFFFFF"/>
                              <w:sz w:val="16"/>
                            </w:rPr>
                          </w:pPr>
                          <w:r w:rsidRPr="00227290">
                            <w:rPr>
                              <w:rFonts w:ascii="Minion Pro"/>
                              <w:color w:val="FFFFFF"/>
                              <w:sz w:val="16"/>
                            </w:rPr>
                            <w:t>Page</w:t>
                          </w:r>
                          <w:r w:rsidRPr="00227290">
                            <w:rPr>
                              <w:rFonts w:ascii="Minion Pro"/>
                              <w:color w:val="FFFFFF"/>
                              <w:sz w:val="16"/>
                            </w:rPr>
                            <w:t xml:space="preserv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FE7452" id="Text Box 7"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2FF3CDB8" w14:textId="77777777" w:rsidR="00AE3E37" w:rsidRPr="00227290" w:rsidRDefault="00172E3A">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14:paraId="3727CEFB" w14:textId="77777777" w:rsidR="00AE3E37" w:rsidRPr="00227290" w:rsidRDefault="00172E3A">
                    <w:pPr>
                      <w:spacing w:before="116"/>
                      <w:ind w:right="18"/>
                      <w:jc w:val="right"/>
                      <w:rPr>
                        <w:rFonts w:ascii="Minion Pro"/>
                        <w:color w:val="FFFFFF"/>
                        <w:sz w:val="16"/>
                      </w:rPr>
                    </w:pPr>
                    <w:r w:rsidRPr="00227290">
                      <w:rPr>
                        <w:rFonts w:ascii="Minion Pro"/>
                        <w:color w:val="FFFFFF"/>
                        <w:sz w:val="16"/>
                      </w:rPr>
                      <w:t>Page</w:t>
                    </w:r>
                    <w:r w:rsidRPr="00227290">
                      <w:rPr>
                        <w:rFonts w:ascii="Minion Pro"/>
                        <w:color w:val="FFFFFF"/>
                        <w:sz w:val="16"/>
                      </w:rPr>
                      <w:t xml:space="preserve"> 40</w:t>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3C167" w14:textId="674023C6" w:rsidR="00AE3E37" w:rsidRDefault="00E33B36">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17CC4DC8" wp14:editId="6546C6A9">
              <wp:simplePos x="0" y="0"/>
              <wp:positionH relativeFrom="page">
                <wp:posOffset>5283200</wp:posOffset>
              </wp:positionH>
              <wp:positionV relativeFrom="page">
                <wp:posOffset>330835</wp:posOffset>
              </wp:positionV>
              <wp:extent cx="1832610" cy="220980"/>
              <wp:effectExtent l="0" t="0" r="15240" b="762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17137" w14:textId="77777777" w:rsidR="00AE3E37" w:rsidRPr="00227290" w:rsidRDefault="00172E3A">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w:t>
                          </w:r>
                          <w:proofErr w:type="spellStart"/>
                          <w:r w:rsidRPr="00227290">
                            <w:rPr>
                              <w:rFonts w:ascii="Arial"/>
                              <w:color w:val="FFFFFF"/>
                              <w:sz w:val="14"/>
                            </w:rPr>
                            <w:t>Suppl</w:t>
                          </w:r>
                          <w:proofErr w:type="spellEnd"/>
                          <w:r w:rsidRPr="00227290">
                            <w:rPr>
                              <w:rFonts w:ascii="Arial"/>
                              <w:color w:val="FFFFFF"/>
                              <w:sz w:val="14"/>
                            </w:rPr>
                            <w:t xml:space="preserve">) </w:t>
                          </w:r>
                          <w:hyperlink r:id="rId1">
                            <w:r w:rsidRPr="00227290">
                              <w:rPr>
                                <w:rFonts w:ascii="Arial"/>
                                <w:color w:val="FFFFFF"/>
                                <w:sz w:val="14"/>
                              </w:rPr>
                              <w:t>http://dx.</w:t>
                            </w:r>
                            <w:r w:rsidRPr="00227290">
                              <w:rPr>
                                <w:rFonts w:ascii="Arial"/>
                                <w:color w:val="FFFFFF"/>
                                <w:sz w:val="14"/>
                              </w:rPr>
                              <w:t>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CC4DC8" id="_x0000_t202" coordsize="21600,21600" o:spt="202" path="m,l,21600r21600,l21600,xe">
              <v:stroke joinstyle="miter"/>
              <v:path gradientshapeok="t" o:connecttype="rect"/>
            </v:shapetype>
            <v:shape id="Text Box 11"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32C17137" w14:textId="77777777" w:rsidR="00AE3E37" w:rsidRPr="00227290" w:rsidRDefault="00172E3A">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w:t>
                    </w:r>
                    <w:proofErr w:type="spellStart"/>
                    <w:r w:rsidRPr="00227290">
                      <w:rPr>
                        <w:rFonts w:ascii="Arial"/>
                        <w:color w:val="FFFFFF"/>
                        <w:sz w:val="14"/>
                      </w:rPr>
                      <w:t>Suppl</w:t>
                    </w:r>
                    <w:proofErr w:type="spellEnd"/>
                    <w:r w:rsidRPr="00227290">
                      <w:rPr>
                        <w:rFonts w:ascii="Arial"/>
                        <w:color w:val="FFFFFF"/>
                        <w:sz w:val="14"/>
                      </w:rPr>
                      <w:t xml:space="preserve">) </w:t>
                    </w:r>
                    <w:hyperlink r:id="rId2">
                      <w:r w:rsidRPr="00227290">
                        <w:rPr>
                          <w:rFonts w:ascii="Arial"/>
                          <w:color w:val="FFFFFF"/>
                          <w:sz w:val="14"/>
                        </w:rPr>
                        <w:t>http://dx.</w:t>
                      </w:r>
                      <w:r w:rsidRPr="00227290">
                        <w:rPr>
                          <w:rFonts w:ascii="Arial"/>
                          <w:color w:val="FFFFFF"/>
                          <w:sz w:val="14"/>
                        </w:rPr>
                        <w:t>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13D0BC70" wp14:editId="30BAA532">
              <wp:simplePos x="0" y="0"/>
              <wp:positionH relativeFrom="page">
                <wp:posOffset>444500</wp:posOffset>
              </wp:positionH>
              <wp:positionV relativeFrom="page">
                <wp:posOffset>613410</wp:posOffset>
              </wp:positionV>
              <wp:extent cx="6552565" cy="509270"/>
              <wp:effectExtent l="0" t="0" r="635" b="508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F859" w14:textId="77777777" w:rsidR="00AE3E37" w:rsidRPr="00227290" w:rsidRDefault="00172E3A">
                          <w:pPr>
                            <w:pStyle w:val="BodyText"/>
                            <w:spacing w:line="187" w:lineRule="exact"/>
                            <w:ind w:left="20" w:right="-10"/>
                            <w:rPr>
                              <w:rFonts w:ascii="Myriad Pro"/>
                              <w:color w:val="FFFFFF"/>
                            </w:rPr>
                          </w:pPr>
                          <w:r w:rsidRPr="00227290">
                            <w:rPr>
                              <w:rFonts w:ascii="Myriad Pro"/>
                              <w:color w:val="FFFFFF"/>
                            </w:rPr>
                            <w:t>International Conference on</w:t>
                          </w:r>
                        </w:p>
                        <w:p w14:paraId="6C9B1E0F" w14:textId="77777777" w:rsidR="00AE3E37" w:rsidRPr="00227290" w:rsidRDefault="00172E3A">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D0BC70" id="Text Box 10"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0A43F859" w14:textId="77777777" w:rsidR="00AE3E37" w:rsidRPr="00227290" w:rsidRDefault="00172E3A">
                    <w:pPr>
                      <w:pStyle w:val="BodyText"/>
                      <w:spacing w:line="187" w:lineRule="exact"/>
                      <w:ind w:left="20" w:right="-10"/>
                      <w:rPr>
                        <w:rFonts w:ascii="Myriad Pro"/>
                        <w:color w:val="FFFFFF"/>
                      </w:rPr>
                    </w:pPr>
                    <w:r w:rsidRPr="00227290">
                      <w:rPr>
                        <w:rFonts w:ascii="Myriad Pro"/>
                        <w:color w:val="FFFFFF"/>
                      </w:rPr>
                      <w:t>International Conference on</w:t>
                    </w:r>
                  </w:p>
                  <w:p w14:paraId="6C9B1E0F" w14:textId="77777777" w:rsidR="00AE3E37" w:rsidRPr="00227290" w:rsidRDefault="00172E3A">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EE3D02"/>
    <w:multiLevelType w:val="hybridMultilevel"/>
    <w:tmpl w:val="2E969344"/>
    <w:lvl w:ilvl="0" w:tplc="66961AC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BFA"/>
    <w:rsid w:val="00172E3A"/>
    <w:rsid w:val="00505BFA"/>
    <w:rsid w:val="007C0116"/>
    <w:rsid w:val="0089070D"/>
    <w:rsid w:val="008B7187"/>
    <w:rsid w:val="0090150C"/>
    <w:rsid w:val="00BB2245"/>
    <w:rsid w:val="00BD5F4D"/>
    <w:rsid w:val="00C41213"/>
    <w:rsid w:val="00E33B3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52211"/>
  <w15:chartTrackingRefBased/>
  <w15:docId w15:val="{B0F86CE0-1B13-4AA6-B4F9-C5098F069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E33B36"/>
    <w:pPr>
      <w:spacing w:after="120"/>
    </w:pPr>
  </w:style>
  <w:style w:type="character" w:customStyle="1" w:styleId="BodyTextChar">
    <w:name w:val="Body Text Char"/>
    <w:basedOn w:val="DefaultParagraphFont"/>
    <w:link w:val="BodyText"/>
    <w:uiPriority w:val="99"/>
    <w:semiHidden/>
    <w:rsid w:val="00E33B36"/>
  </w:style>
  <w:style w:type="paragraph" w:styleId="NormalWeb">
    <w:name w:val="Normal (Web)"/>
    <w:basedOn w:val="Normal"/>
    <w:uiPriority w:val="99"/>
    <w:unhideWhenUsed/>
    <w:rsid w:val="0090150C"/>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BB2245"/>
    <w:rPr>
      <w:color w:val="0563C1" w:themeColor="hyperlink"/>
      <w:u w:val="single"/>
    </w:rPr>
  </w:style>
  <w:style w:type="character" w:styleId="UnresolvedMention">
    <w:name w:val="Unresolved Mention"/>
    <w:basedOn w:val="DefaultParagraphFont"/>
    <w:uiPriority w:val="99"/>
    <w:semiHidden/>
    <w:unhideWhenUsed/>
    <w:rsid w:val="00BB22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iachaudhuri2@gmail.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2</Pages>
  <Words>789</Words>
  <Characters>4502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Zia Chaudhuri</dc:creator>
  <cp:keywords/>
  <dc:description/>
  <cp:lastModifiedBy>Zia Chaudhuri</cp:lastModifiedBy>
  <cp:revision>4</cp:revision>
  <dcterms:created xsi:type="dcterms:W3CDTF">2022-03-06T15:56:00Z</dcterms:created>
  <dcterms:modified xsi:type="dcterms:W3CDTF">2022-03-06T18:37:00Z</dcterms:modified>
</cp:coreProperties>
</file>