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How much Etoposide? </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rFonts w:ascii="Times-Roman" w:hAnsi="Times-Roman" w:eastAsia="Times-Roman" w:cs="Times-Roman"/>
          <w:b/>
          <w:b/>
          <w:bCs/>
          <w:color w:val="0D0F19"/>
          <w:sz w:val="24"/>
          <w:szCs w:val="24"/>
        </w:rPr>
      </w:pPr>
      <w:r>
        <w:rPr>
          <w:rFonts w:eastAsia="Times-Roman" w:cs="Times-Roman" w:ascii="Times-Roman" w:hAnsi="Times-Roman"/>
          <w:b/>
          <w:bCs/>
          <w:color w:val="0D0F19"/>
          <w:sz w:val="24"/>
          <w:szCs w:val="24"/>
        </w:rPr>
        <w:t>Background:</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Hemophagocytic lymphohistiocytosis (HLH) is an aggressive, life-threatening immune syndrome featuring excessive macrophage activation and impaired regulation by Natural Killer cells (NK cells) and Cytotoxic T-Lymphocytes (CTLs). Associated immune triggers have led to descriptions such as infection (I-HLH) and malignancy-associated HLH (M-HLH) with the latter demonstrating much higher 30-day mortality. Etoposide, a topoisomerase inhibitor, has been a cornerstone of HLH treatment with varying dosing strategies by subtype. We present this case to highlight management considerations in patients with multifactorial HLH. </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rFonts w:ascii="Times-Roman" w:hAnsi="Times-Roman" w:eastAsia="Times-Roman" w:cs="Times-Roman"/>
          <w:b/>
          <w:b/>
          <w:bCs/>
          <w:color w:val="0D0F19"/>
          <w:sz w:val="24"/>
          <w:szCs w:val="24"/>
        </w:rPr>
      </w:pPr>
      <w:r>
        <w:rPr>
          <w:rFonts w:eastAsia="Times-Roman" w:cs="Times-Roman" w:ascii="Times-Roman" w:hAnsi="Times-Roman"/>
          <w:b/>
          <w:bCs/>
          <w:color w:val="0D0F19"/>
          <w:sz w:val="24"/>
          <w:szCs w:val="24"/>
        </w:rPr>
        <w:t>Vignette </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A 70-year-old man with no contributory medical history was referred to an emergency department with acute onset shortness of breath and hypotension. His condition quickly deteriorated and despite aggressive sepsis management, he developed shock and liver failure requiring ICU admission, vasopressor support, and intubation. Severely elevated ferritin, pancytopenia, and depressed fibrinogen led to suspicion of HLH.</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Bone marrow biopsy studies showed features consistent with low-grade MDS, occasional hemophagocytosis, and elevated IL-2 receptor levels. With M-HLH etiology favoured, the highest dosage of etoposide adjusted for age was selected. The dose was later decreased after progressive renal impairment. After day 10 when an EBV PCR returned positive, rituximab for EBV-associated HLH was added and etoposide dosing was adjusted again. </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pPr>
      <w:r>
        <w:rPr>
          <w:rFonts w:eastAsia="Times-Roman" w:cs="Times-Roman" w:ascii="Times-Roman" w:hAnsi="Times-Roman"/>
          <w:color w:val="0D0F19"/>
          <w:sz w:val="24"/>
          <w:szCs w:val="24"/>
        </w:rPr>
        <w:t xml:space="preserve">Although the patient initially improved and was even transferred to floors </w:t>
      </w:r>
      <w:r>
        <w:rPr>
          <w:rFonts w:eastAsia="Times-Roman" w:cs="Times-Roman" w:ascii="Times-Roman" w:hAnsi="Times-Roman"/>
          <w:color w:val="0D0F19"/>
          <w:sz w:val="24"/>
          <w:szCs w:val="24"/>
          <w:lang w:val="en-US"/>
        </w:rPr>
        <w:t xml:space="preserve">unfortunately days into his hospitalization </w:t>
      </w:r>
      <w:r>
        <w:rPr>
          <w:rFonts w:eastAsia="Times-Roman" w:cs="Times-Roman" w:ascii="Times-Roman" w:hAnsi="Times-Roman"/>
          <w:color w:val="0D0F19"/>
          <w:sz w:val="24"/>
          <w:szCs w:val="24"/>
        </w:rPr>
        <w:t>develop</w:t>
      </w:r>
      <w:r>
        <w:rPr>
          <w:rFonts w:eastAsia="Times-Roman" w:cs="Times-Roman" w:ascii="Times-Roman" w:hAnsi="Times-Roman"/>
          <w:color w:val="0D0F19"/>
          <w:sz w:val="24"/>
          <w:szCs w:val="24"/>
          <w:lang w:val="en-US"/>
        </w:rPr>
        <w:t>ed</w:t>
      </w:r>
      <w:r>
        <w:rPr>
          <w:rFonts w:eastAsia="Times-Roman" w:cs="Times-Roman" w:ascii="Times-Roman" w:hAnsi="Times-Roman"/>
          <w:color w:val="0D0F19"/>
          <w:sz w:val="24"/>
          <w:szCs w:val="24"/>
        </w:rPr>
        <w:t xml:space="preserve"> shock, encephalopathy and worsening liver failure by hospital day 23. The patient’s family ultimately opted for comfort measures alone and the patient passed away shortly thereafter.</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rFonts w:ascii="Times-Roman" w:hAnsi="Times-Roman" w:eastAsia="Times-Roman" w:cs="Times-Roman"/>
          <w:b/>
          <w:b/>
          <w:bCs/>
          <w:color w:val="0D0F19"/>
          <w:sz w:val="24"/>
          <w:szCs w:val="24"/>
        </w:rPr>
      </w:pPr>
      <w:r>
        <w:rPr>
          <w:rFonts w:eastAsia="Times-Roman" w:cs="Times-Roman" w:ascii="Times-Roman" w:hAnsi="Times-Roman"/>
          <w:b/>
          <w:bCs/>
          <w:color w:val="0D0F19"/>
          <w:sz w:val="24"/>
          <w:szCs w:val="24"/>
        </w:rPr>
        <w:t>Discussion:</w:t>
      </w:r>
    </w:p>
    <w:p>
      <w:pPr>
        <w:pStyle w:val="Normal"/>
        <w:widowControl/>
        <w:bidi w:val="0"/>
        <w:spacing w:lineRule="auto" w:line="288" w:before="0" w:after="0"/>
        <w:ind w:left="0" w:right="0" w:hanging="0"/>
        <w:jc w:val="left"/>
        <w:rPr/>
      </w:pPr>
      <w:r>
        <w:rPr>
          <w:rFonts w:eastAsia="Times-Roman" w:cs="Times-Roman" w:ascii="Times-Roman" w:hAnsi="Times-Roman"/>
          <w:color w:val="0D0F19"/>
          <w:sz w:val="24"/>
          <w:szCs w:val="24"/>
        </w:rPr>
        <w:t xml:space="preserve">This case represents HLH manifesting as fulminant hepatic failure treated initially with the HLH-94 protocol. Although inflammatory markers were initially improving with high-dose etoposide, our patient’s encephalopathy eventually progressed after 23 days. This led to a review of dosing efficacy and possible etoposide toxicities. The sum of evidence demonstrating increased survival with early and high-dose etoposide in EBV-associated HLH seemed to outweigh limited evidence supporting decreased dosing in M-HLH. Suspicion for etoposide toxicity was low since, in a multifactorial patient where cell counts couldn’t be monitored as a toxicity effect, toxicity symptoms such as mucositis, nausea, vomiting, abdominal pain, and neuropathy were essentially absent. Additionally, hepatic chemistries </w:t>
      </w:r>
      <w:r>
        <w:rPr>
          <w:rFonts w:eastAsia="Times-Roman" w:cs="Times-Roman" w:ascii="Times-Roman" w:hAnsi="Times-Roman"/>
          <w:color w:val="0D0F19"/>
          <w:sz w:val="24"/>
          <w:szCs w:val="24"/>
          <w:lang w:val="en-US"/>
        </w:rPr>
        <w:t>remained</w:t>
      </w:r>
      <w:r>
        <w:rPr>
          <w:rFonts w:eastAsia="Times-Roman" w:cs="Times-Roman" w:ascii="Times-Roman" w:hAnsi="Times-Roman"/>
          <w:color w:val="0D0F19"/>
          <w:sz w:val="24"/>
          <w:szCs w:val="24"/>
        </w:rPr>
        <w:t xml:space="preserve"> stable before acute deterioration after day 23.</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pPr>
      <w:r>
        <w:rPr>
          <w:rFonts w:eastAsia="Times-Roman" w:cs="Times-Roman" w:ascii="Times-Roman" w:hAnsi="Times-Roman"/>
          <w:color w:val="0D0F19"/>
          <w:sz w:val="24"/>
          <w:szCs w:val="24"/>
        </w:rPr>
        <w:t>HLH consensus statements and other immunology guidelines recommend etoposide dose adjustments only for renal function and age with emphasis </w:t>
      </w:r>
      <w:r>
        <w:rPr>
          <w:rFonts w:eastAsia="Times-Roman" w:cs="Times-Roman" w:ascii="Times-Roman" w:hAnsi="Times-Roman"/>
          <w:i/>
          <w:iCs/>
          <w:color w:val="0D0F19"/>
          <w:sz w:val="24"/>
          <w:szCs w:val="24"/>
        </w:rPr>
        <w:t>not</w:t>
      </w:r>
      <w:r>
        <w:rPr>
          <w:rFonts w:eastAsia="Times-Roman" w:cs="Times-Roman" w:ascii="Times-Roman" w:hAnsi="Times-Roman"/>
          <w:color w:val="0D0F19"/>
          <w:sz w:val="24"/>
          <w:szCs w:val="24"/>
        </w:rPr>
        <w:t> to adjust for hepatic function. As the kidneys can secrete both metabolized and active etoposide, renal dose adjustments are pivotal for etoposide.</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 </w:t>
      </w:r>
    </w:p>
    <w:p>
      <w:pPr>
        <w:pStyle w:val="Normal"/>
        <w:widowControl/>
        <w:bidi w:val="0"/>
        <w:spacing w:lineRule="auto" w:line="288" w:before="0" w:after="0"/>
        <w:ind w:left="0" w:right="0" w:hanging="0"/>
        <w:jc w:val="left"/>
        <w:rPr>
          <w:rFonts w:ascii="Times-Roman" w:hAnsi="Times-Roman" w:eastAsia="Times-Roman" w:cs="Times-Roman"/>
          <w:color w:val="0D0F19"/>
          <w:sz w:val="24"/>
          <w:szCs w:val="24"/>
        </w:rPr>
      </w:pPr>
      <w:r>
        <w:rPr>
          <w:rFonts w:eastAsia="Times-Roman" w:cs="Times-Roman" w:ascii="Times-Roman" w:hAnsi="Times-Roman"/>
          <w:color w:val="0D0F19"/>
          <w:sz w:val="24"/>
          <w:szCs w:val="24"/>
        </w:rPr>
        <w:t>This case highlights the difficulties in dosing etoposide in a multifactorial patient and the need for further outcomes of conservative versus aggressive individualized etoposide adjustment in multifactorial patients. The outcomes of HLH, particularly M-HLH, should be cautiously interpreted to maintain efficacious dosing of mainstay therapies.</w:t>
      </w:r>
    </w:p>
    <w:p>
      <w:pPr>
        <w:pStyle w:val="Normal"/>
        <w:widowControl/>
        <w:bidi w:val="0"/>
        <w:spacing w:lineRule="auto" w:line="288" w:before="0" w:after="0"/>
        <w:ind w:left="0" w:right="0" w:hanging="0"/>
        <w:jc w:val="left"/>
        <w:rPr/>
      </w:pPr>
      <w:r>
        <w:rPr/>
      </w:r>
    </w:p>
    <w:sectPr>
      <w:type w:val="nextPage"/>
      <w:pgSz w:w="12240" w:h="15840"/>
      <w:pgMar w:left="1440" w:right="1440" w:gutter="0" w:header="0" w:top="1440" w:footer="0" w:bottom="14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Roman">
    <w:altName w:val="Times New Roman"/>
    <w:charset w:val="00"/>
    <w:family w:val="auto"/>
    <w:pitch w:val="default"/>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DejaVu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Tahoma" w:cs="DejaVu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anchor">
    <w:name w:val="Footnote_anchor"/>
    <w:rPr>
      <w:vertAlign w:val="superscript"/>
    </w:rPr>
  </w:style>
  <w:style w:type="character" w:styleId="Endnoteanchor">
    <w:name w:val="Endnote_anchor"/>
    <w:rPr>
      <w:vertAlign w:val="superscript"/>
    </w:rPr>
  </w:style>
  <w:style w:type="character" w:styleId="FootnoteAnchor1">
    <w:name w:val="Footnote Anchor"/>
    <w:qFormat/>
    <w:rPr>
      <w:vertAlign w:val="superscript"/>
    </w:rPr>
  </w:style>
  <w:style w:type="character" w:styleId="EndnoteAnchor1">
    <w:name w:val="Endnote Anchor"/>
    <w:qFormat/>
    <w:rPr>
      <w:vertAlign w:val="superscript"/>
    </w:rPr>
  </w:style>
  <w:style w:type="paragraph" w:styleId="Heading">
    <w:name w:val="Heading"/>
    <w:basedOn w:val="Normal"/>
    <w:next w:val="TextBody"/>
    <w:qFormat/>
    <w:pPr>
      <w:keepNext w:val="true"/>
      <w:spacing w:before="240" w:after="120"/>
    </w:pPr>
    <w:rPr>
      <w:rFonts w:ascii="Liberation Sans" w:hAnsi="Liberation Sans" w:eastAsia="Tahoma" w:cs="DejaVu Sans"/>
      <w:sz w:val="28"/>
      <w:szCs w:val="28"/>
    </w:rPr>
  </w:style>
  <w:style w:type="paragraph" w:styleId="TextBody">
    <w:name w:val="Body Text"/>
    <w:basedOn w:val="Normal"/>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
    <w:name w:val="Footnote Text"/>
    <w:basedOn w:val="Normal"/>
    <w:pPr/>
    <w:rPr/>
  </w:style>
  <w:style w:type="paragraph" w:styleId="Endnote">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LibreOffice/7.2.1.2$Linux_X86_64 LibreOffice_project/87b77fad49947c1441b67c559c339af8f3517e22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