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7A62D2" w14:textId="2D6FB056" w:rsidR="008144B3" w:rsidRPr="00F25C12" w:rsidRDefault="0000419B" w:rsidP="0000419B">
      <w:pPr>
        <w:spacing w:after="0" w:line="240" w:lineRule="auto"/>
        <w:rPr>
          <w:rFonts w:asciiTheme="majorBidi" w:eastAsia="Times New Roman" w:hAnsiTheme="majorBidi" w:cstheme="majorBidi"/>
          <w:b/>
          <w:bCs/>
          <w:color w:val="222222"/>
          <w:sz w:val="24"/>
          <w:szCs w:val="24"/>
          <w:shd w:val="clear" w:color="auto" w:fill="FFFFFF"/>
          <w:lang w:eastAsia="en-GB"/>
        </w:rPr>
      </w:pPr>
      <w:r w:rsidRPr="00F25C12">
        <w:rPr>
          <w:rFonts w:asciiTheme="majorBidi" w:eastAsia="Times New Roman" w:hAnsiTheme="majorBidi" w:cstheme="majorBidi"/>
          <w:b/>
          <w:bCs/>
          <w:color w:val="222222"/>
          <w:sz w:val="24"/>
          <w:szCs w:val="24"/>
          <w:shd w:val="clear" w:color="auto" w:fill="FFFFFF"/>
          <w:lang w:eastAsia="en-GB"/>
        </w:rPr>
        <w:t>MMP-2 level</w:t>
      </w:r>
      <w:r w:rsidRPr="00F25C12">
        <w:rPr>
          <w:rFonts w:asciiTheme="majorBidi" w:eastAsia="Times New Roman" w:hAnsiTheme="majorBidi" w:cstheme="majorBidi"/>
          <w:b/>
          <w:bCs/>
          <w:color w:val="222222"/>
          <w:sz w:val="24"/>
          <w:szCs w:val="24"/>
          <w:shd w:val="clear" w:color="auto" w:fill="FFFFFF"/>
          <w:lang w:eastAsia="en-GB"/>
        </w:rPr>
        <w:t xml:space="preserve">, a biomarker for </w:t>
      </w:r>
      <w:r w:rsidRPr="00F25C12">
        <w:rPr>
          <w:rFonts w:asciiTheme="majorBidi" w:eastAsia="Times New Roman" w:hAnsiTheme="majorBidi" w:cstheme="majorBidi"/>
          <w:b/>
          <w:bCs/>
          <w:color w:val="222222"/>
          <w:sz w:val="24"/>
          <w:szCs w:val="24"/>
          <w:shd w:val="clear" w:color="auto" w:fill="FFFFFF"/>
          <w:lang w:eastAsia="en-GB"/>
        </w:rPr>
        <w:t>helicobacter pylori</w:t>
      </w:r>
      <w:r w:rsidRPr="00F25C12">
        <w:rPr>
          <w:rFonts w:asciiTheme="majorBidi" w:eastAsia="Times New Roman" w:hAnsiTheme="majorBidi" w:cstheme="majorBidi"/>
          <w:b/>
          <w:bCs/>
          <w:color w:val="222222"/>
          <w:sz w:val="24"/>
          <w:szCs w:val="24"/>
          <w:shd w:val="clear" w:color="auto" w:fill="FFFFFF"/>
          <w:lang w:eastAsia="en-GB"/>
        </w:rPr>
        <w:t xml:space="preserve"> induced </w:t>
      </w:r>
      <w:r w:rsidR="008144B3" w:rsidRPr="00F25C12">
        <w:rPr>
          <w:rFonts w:asciiTheme="majorBidi" w:eastAsia="Times New Roman" w:hAnsiTheme="majorBidi" w:cstheme="majorBidi"/>
          <w:b/>
          <w:bCs/>
          <w:color w:val="222222"/>
          <w:sz w:val="24"/>
          <w:szCs w:val="24"/>
          <w:shd w:val="clear" w:color="auto" w:fill="FFFFFF"/>
          <w:lang w:eastAsia="en-GB"/>
        </w:rPr>
        <w:t xml:space="preserve">refractory peptic ulcer </w:t>
      </w:r>
    </w:p>
    <w:p w14:paraId="4D7A7905" w14:textId="7AE8A10A" w:rsidR="008144B3" w:rsidRPr="00F25C12" w:rsidRDefault="008144B3" w:rsidP="008144B3">
      <w:pPr>
        <w:spacing w:after="0" w:line="240" w:lineRule="auto"/>
        <w:rPr>
          <w:rFonts w:asciiTheme="majorBidi" w:eastAsia="Times New Roman" w:hAnsiTheme="majorBidi" w:cstheme="majorBidi"/>
          <w:sz w:val="24"/>
          <w:szCs w:val="24"/>
          <w:rtl/>
          <w:lang w:eastAsia="en-GB"/>
        </w:rPr>
      </w:pPr>
    </w:p>
    <w:p w14:paraId="75136C62" w14:textId="77777777" w:rsidR="001332D4" w:rsidRPr="00F25C12" w:rsidRDefault="001332D4" w:rsidP="001332D4">
      <w:pPr>
        <w:rPr>
          <w:rFonts w:asciiTheme="majorBidi" w:hAnsiTheme="majorBidi" w:cstheme="majorBidi"/>
          <w:b/>
          <w:bCs/>
          <w:sz w:val="24"/>
          <w:szCs w:val="24"/>
          <w:vertAlign w:val="superscript"/>
        </w:rPr>
      </w:pPr>
      <w:r w:rsidRPr="00F25C12">
        <w:rPr>
          <w:rFonts w:asciiTheme="majorBidi" w:hAnsiTheme="majorBidi" w:cstheme="majorBidi"/>
          <w:b/>
          <w:bCs/>
          <w:sz w:val="24"/>
          <w:szCs w:val="24"/>
        </w:rPr>
        <w:t>Mohammad Negaresh</w:t>
      </w:r>
      <w:r w:rsidRPr="00F25C12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</w:t>
      </w:r>
      <w:r w:rsidRPr="00F25C12">
        <w:rPr>
          <w:rFonts w:asciiTheme="majorBidi" w:hAnsiTheme="majorBidi" w:cstheme="majorBidi"/>
          <w:b/>
          <w:bCs/>
          <w:sz w:val="24"/>
          <w:szCs w:val="24"/>
        </w:rPr>
        <w:t>, Elham Safarzadeh</w:t>
      </w:r>
      <w:r w:rsidRPr="00F25C12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2</w:t>
      </w:r>
      <w:r w:rsidRPr="00F25C12">
        <w:rPr>
          <w:rFonts w:asciiTheme="majorBidi" w:hAnsiTheme="majorBidi" w:cstheme="majorBidi"/>
          <w:b/>
          <w:bCs/>
          <w:sz w:val="24"/>
          <w:szCs w:val="24"/>
        </w:rPr>
        <w:t>, Nasrin Fouladi</w:t>
      </w:r>
      <w:r w:rsidRPr="00F25C12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3</w:t>
      </w:r>
      <w:r w:rsidRPr="00F25C12">
        <w:rPr>
          <w:rFonts w:asciiTheme="majorBidi" w:hAnsiTheme="majorBidi" w:cstheme="majorBidi"/>
          <w:b/>
          <w:bCs/>
          <w:sz w:val="24"/>
          <w:szCs w:val="24"/>
        </w:rPr>
        <w:t>, Somaieh Matin</w:t>
      </w:r>
      <w:r w:rsidRPr="00F25C12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4*</w:t>
      </w:r>
      <w:r w:rsidRPr="00F25C12">
        <w:rPr>
          <w:rFonts w:asciiTheme="majorBidi" w:hAnsiTheme="majorBidi" w:cstheme="majorBidi"/>
          <w:b/>
          <w:bCs/>
          <w:sz w:val="24"/>
          <w:szCs w:val="24"/>
        </w:rPr>
        <w:t>, Sanaz Pourfarzi</w:t>
      </w:r>
      <w:r w:rsidRPr="00F25C12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5</w:t>
      </w:r>
    </w:p>
    <w:p w14:paraId="0531DC26" w14:textId="77777777" w:rsidR="001332D4" w:rsidRPr="001332D4" w:rsidRDefault="001332D4" w:rsidP="001332D4">
      <w:pPr>
        <w:spacing w:line="360" w:lineRule="auto"/>
        <w:rPr>
          <w:rFonts w:asciiTheme="majorBidi" w:hAnsiTheme="majorBidi" w:cstheme="majorBidi"/>
          <w:sz w:val="20"/>
          <w:szCs w:val="20"/>
        </w:rPr>
      </w:pPr>
      <w:r w:rsidRPr="001332D4">
        <w:rPr>
          <w:rFonts w:asciiTheme="majorBidi" w:hAnsiTheme="majorBidi" w:cstheme="majorBidi"/>
          <w:sz w:val="20"/>
          <w:szCs w:val="20"/>
        </w:rPr>
        <w:t>1. Resident of internal medicine, Students Research Committee, Faculty of Medicine, Ardabil University of Medical Sciences, Ardabil, Iran</w:t>
      </w:r>
    </w:p>
    <w:p w14:paraId="64D74AAF" w14:textId="77777777" w:rsidR="001332D4" w:rsidRPr="001332D4" w:rsidRDefault="001332D4" w:rsidP="001332D4">
      <w:pPr>
        <w:spacing w:line="360" w:lineRule="auto"/>
        <w:rPr>
          <w:rFonts w:asciiTheme="majorBidi" w:hAnsiTheme="majorBidi" w:cstheme="majorBidi"/>
          <w:sz w:val="20"/>
          <w:szCs w:val="20"/>
        </w:rPr>
      </w:pPr>
      <w:r w:rsidRPr="001332D4">
        <w:rPr>
          <w:rFonts w:asciiTheme="majorBidi" w:hAnsiTheme="majorBidi" w:cstheme="majorBidi"/>
          <w:sz w:val="20"/>
          <w:szCs w:val="20"/>
        </w:rPr>
        <w:t>2. School of Medicine and Allied Medical Sciences, Ardabil University of Medical Sciences, Ardabil, Iran.</w:t>
      </w:r>
    </w:p>
    <w:p w14:paraId="32591436" w14:textId="466C0D96" w:rsidR="001332D4" w:rsidRPr="001332D4" w:rsidRDefault="001332D4" w:rsidP="001332D4">
      <w:pPr>
        <w:spacing w:line="360" w:lineRule="auto"/>
        <w:rPr>
          <w:rFonts w:asciiTheme="majorBidi" w:hAnsiTheme="majorBidi" w:cstheme="majorBidi"/>
          <w:sz w:val="20"/>
          <w:szCs w:val="20"/>
        </w:rPr>
      </w:pPr>
      <w:r w:rsidRPr="001332D4">
        <w:rPr>
          <w:rFonts w:asciiTheme="majorBidi" w:hAnsiTheme="majorBidi" w:cstheme="majorBidi"/>
          <w:sz w:val="20"/>
          <w:szCs w:val="20"/>
        </w:rPr>
        <w:t xml:space="preserve">3. Social Determinants of Health Research </w:t>
      </w:r>
      <w:r w:rsidR="0000419B" w:rsidRPr="001332D4">
        <w:rPr>
          <w:rFonts w:asciiTheme="majorBidi" w:hAnsiTheme="majorBidi" w:cstheme="majorBidi"/>
          <w:sz w:val="20"/>
          <w:szCs w:val="20"/>
        </w:rPr>
        <w:t>Centre</w:t>
      </w:r>
      <w:r w:rsidRPr="001332D4">
        <w:rPr>
          <w:rFonts w:asciiTheme="majorBidi" w:hAnsiTheme="majorBidi" w:cstheme="majorBidi"/>
          <w:sz w:val="20"/>
          <w:szCs w:val="20"/>
        </w:rPr>
        <w:t>, Ardabil University of Medical Sciences, Ardabil, Iran.</w:t>
      </w:r>
    </w:p>
    <w:p w14:paraId="1E692007" w14:textId="77777777" w:rsidR="001332D4" w:rsidRPr="001332D4" w:rsidRDefault="001332D4" w:rsidP="001332D4">
      <w:pPr>
        <w:spacing w:line="360" w:lineRule="auto"/>
        <w:rPr>
          <w:rFonts w:asciiTheme="majorBidi" w:hAnsiTheme="majorBidi" w:cstheme="majorBidi"/>
          <w:sz w:val="20"/>
          <w:szCs w:val="20"/>
        </w:rPr>
      </w:pPr>
      <w:r w:rsidRPr="001332D4">
        <w:rPr>
          <w:rFonts w:asciiTheme="majorBidi" w:hAnsiTheme="majorBidi" w:cstheme="majorBidi"/>
          <w:sz w:val="20"/>
          <w:szCs w:val="20"/>
        </w:rPr>
        <w:t>4. Department of Internal Medicine (Gastroenterology Division), School of Medicine, Ardabil University of Medical Sciences, Ardabil, Iran</w:t>
      </w:r>
    </w:p>
    <w:p w14:paraId="41FE802A" w14:textId="77777777" w:rsidR="001332D4" w:rsidRPr="001332D4" w:rsidRDefault="001332D4" w:rsidP="001332D4">
      <w:pPr>
        <w:spacing w:line="360" w:lineRule="auto"/>
        <w:rPr>
          <w:rFonts w:asciiTheme="majorBidi" w:hAnsiTheme="majorBidi" w:cstheme="majorBidi"/>
          <w:sz w:val="20"/>
          <w:szCs w:val="20"/>
        </w:rPr>
      </w:pPr>
      <w:r w:rsidRPr="001332D4">
        <w:rPr>
          <w:rFonts w:asciiTheme="majorBidi" w:hAnsiTheme="majorBidi" w:cstheme="majorBidi"/>
          <w:sz w:val="20"/>
          <w:szCs w:val="20"/>
        </w:rPr>
        <w:t>5. Students Research Committee, School of Medicine, Ardabil University of Medical Sciences, Ardab</w:t>
      </w:r>
      <w:bookmarkStart w:id="0" w:name="_GoBack"/>
      <w:bookmarkEnd w:id="0"/>
      <w:r w:rsidRPr="001332D4">
        <w:rPr>
          <w:rFonts w:asciiTheme="majorBidi" w:hAnsiTheme="majorBidi" w:cstheme="majorBidi"/>
          <w:sz w:val="20"/>
          <w:szCs w:val="20"/>
        </w:rPr>
        <w:t>il, Iran.</w:t>
      </w:r>
    </w:p>
    <w:p w14:paraId="4976FEA2" w14:textId="77777777" w:rsidR="001332D4" w:rsidRPr="001332D4" w:rsidRDefault="001332D4" w:rsidP="008144B3">
      <w:pPr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eastAsia="en-GB"/>
        </w:rPr>
      </w:pPr>
    </w:p>
    <w:p w14:paraId="402DCE75" w14:textId="6E818CEE" w:rsidR="008144B3" w:rsidRPr="00F25C12" w:rsidRDefault="008144B3" w:rsidP="008144B3">
      <w:pPr>
        <w:spacing w:after="0" w:line="240" w:lineRule="auto"/>
        <w:rPr>
          <w:rFonts w:asciiTheme="majorBidi" w:eastAsia="Times New Roman" w:hAnsiTheme="majorBidi" w:cstheme="majorBidi"/>
          <w:b/>
          <w:bCs/>
          <w:color w:val="222222"/>
          <w:sz w:val="24"/>
          <w:szCs w:val="24"/>
          <w:u w:val="single"/>
          <w:lang w:eastAsia="en-GB"/>
        </w:rPr>
      </w:pPr>
      <w:r w:rsidRPr="00F25C12">
        <w:rPr>
          <w:rFonts w:asciiTheme="majorBidi" w:eastAsia="Times New Roman" w:hAnsiTheme="majorBidi" w:cstheme="majorBidi"/>
          <w:b/>
          <w:bCs/>
          <w:color w:val="222222"/>
          <w:sz w:val="24"/>
          <w:szCs w:val="24"/>
          <w:u w:val="single"/>
          <w:lang w:eastAsia="en-GB"/>
        </w:rPr>
        <w:t>Abstract </w:t>
      </w:r>
    </w:p>
    <w:p w14:paraId="7B0877AD" w14:textId="77777777" w:rsidR="008144B3" w:rsidRPr="00F25C12" w:rsidRDefault="008144B3" w:rsidP="008144B3">
      <w:pPr>
        <w:spacing w:after="0" w:line="240" w:lineRule="auto"/>
        <w:rPr>
          <w:rFonts w:asciiTheme="majorBidi" w:eastAsia="Times New Roman" w:hAnsiTheme="majorBidi" w:cstheme="majorBidi"/>
          <w:color w:val="222222"/>
          <w:sz w:val="24"/>
          <w:szCs w:val="24"/>
          <w:u w:val="single"/>
          <w:lang w:eastAsia="en-GB"/>
        </w:rPr>
      </w:pPr>
    </w:p>
    <w:p w14:paraId="5DEA8314" w14:textId="60B8F2FB" w:rsidR="008144B3" w:rsidRPr="00F25C12" w:rsidRDefault="008144B3" w:rsidP="00D95648">
      <w:pPr>
        <w:spacing w:after="0" w:line="240" w:lineRule="auto"/>
        <w:jc w:val="both"/>
        <w:rPr>
          <w:rFonts w:asciiTheme="majorBidi" w:eastAsia="Times New Roman" w:hAnsiTheme="majorBidi" w:cstheme="majorBidi"/>
          <w:color w:val="222222"/>
          <w:sz w:val="24"/>
          <w:szCs w:val="24"/>
          <w:lang w:eastAsia="en-GB"/>
        </w:rPr>
      </w:pPr>
      <w:r w:rsidRPr="00F25C12">
        <w:rPr>
          <w:rFonts w:asciiTheme="majorBidi" w:eastAsia="Times New Roman" w:hAnsiTheme="majorBidi" w:cstheme="majorBidi"/>
          <w:color w:val="222222"/>
          <w:sz w:val="24"/>
          <w:szCs w:val="24"/>
          <w:lang w:eastAsia="en-GB"/>
        </w:rPr>
        <w:t>Peptic ulcer</w:t>
      </w:r>
      <w:r w:rsidR="004E1FE0" w:rsidRPr="00F25C12">
        <w:rPr>
          <w:rFonts w:asciiTheme="majorBidi" w:eastAsia="Times New Roman" w:hAnsiTheme="majorBidi" w:cstheme="majorBidi"/>
          <w:color w:val="222222"/>
          <w:sz w:val="24"/>
          <w:szCs w:val="24"/>
          <w:lang w:val="en-US" w:eastAsia="en-GB"/>
        </w:rPr>
        <w:t>s</w:t>
      </w:r>
      <w:r w:rsidRPr="00F25C12">
        <w:rPr>
          <w:rFonts w:asciiTheme="majorBidi" w:eastAsia="Times New Roman" w:hAnsiTheme="majorBidi" w:cstheme="majorBidi"/>
          <w:color w:val="222222"/>
          <w:sz w:val="24"/>
          <w:szCs w:val="24"/>
          <w:lang w:eastAsia="en-GB"/>
        </w:rPr>
        <w:t xml:space="preserve"> </w:t>
      </w:r>
      <w:r w:rsidR="004E1FE0" w:rsidRPr="00F25C12">
        <w:rPr>
          <w:rFonts w:asciiTheme="majorBidi" w:eastAsia="Times New Roman" w:hAnsiTheme="majorBidi" w:cstheme="majorBidi"/>
          <w:color w:val="222222"/>
          <w:sz w:val="24"/>
          <w:szCs w:val="24"/>
          <w:lang w:eastAsia="en-GB"/>
        </w:rPr>
        <w:t>are</w:t>
      </w:r>
      <w:r w:rsidRPr="00F25C12">
        <w:rPr>
          <w:rFonts w:asciiTheme="majorBidi" w:eastAsia="Times New Roman" w:hAnsiTheme="majorBidi" w:cstheme="majorBidi"/>
          <w:color w:val="222222"/>
          <w:sz w:val="24"/>
          <w:szCs w:val="24"/>
          <w:lang w:eastAsia="en-GB"/>
        </w:rPr>
        <w:t xml:space="preserve"> common gastric diseases which is mainly caused by Helicobacter pylori (H. pylori</w:t>
      </w:r>
      <w:r w:rsidR="004E1FE0" w:rsidRPr="00F25C12">
        <w:rPr>
          <w:rFonts w:asciiTheme="majorBidi" w:eastAsia="Times New Roman" w:hAnsiTheme="majorBidi" w:cstheme="majorBidi"/>
          <w:color w:val="222222"/>
          <w:sz w:val="24"/>
          <w:szCs w:val="24"/>
          <w:lang w:eastAsia="en-GB"/>
        </w:rPr>
        <w:t>). Previous studies have shown that m</w:t>
      </w:r>
      <w:r w:rsidRPr="00F25C12">
        <w:rPr>
          <w:rFonts w:asciiTheme="majorBidi" w:eastAsia="Times New Roman" w:hAnsiTheme="majorBidi" w:cstheme="majorBidi"/>
          <w:color w:val="222222"/>
          <w:sz w:val="24"/>
          <w:szCs w:val="24"/>
          <w:lang w:eastAsia="en-GB"/>
        </w:rPr>
        <w:t>atr</w:t>
      </w:r>
      <w:r w:rsidR="004E1FE0" w:rsidRPr="00F25C12">
        <w:rPr>
          <w:rFonts w:asciiTheme="majorBidi" w:eastAsia="Times New Roman" w:hAnsiTheme="majorBidi" w:cstheme="majorBidi"/>
          <w:color w:val="222222"/>
          <w:sz w:val="24"/>
          <w:szCs w:val="24"/>
          <w:lang w:eastAsia="en-GB"/>
        </w:rPr>
        <w:t>ix metalloproteinase 2 (MMP-2) and its inhibitors are</w:t>
      </w:r>
      <w:r w:rsidRPr="00F25C12">
        <w:rPr>
          <w:rFonts w:asciiTheme="majorBidi" w:eastAsia="Times New Roman" w:hAnsiTheme="majorBidi" w:cstheme="majorBidi"/>
          <w:color w:val="222222"/>
          <w:sz w:val="24"/>
          <w:szCs w:val="24"/>
          <w:lang w:eastAsia="en-GB"/>
        </w:rPr>
        <w:t xml:space="preserve"> effective</w:t>
      </w:r>
      <w:r w:rsidR="004E1FE0" w:rsidRPr="00F25C12">
        <w:rPr>
          <w:rFonts w:asciiTheme="majorBidi" w:eastAsia="Times New Roman" w:hAnsiTheme="majorBidi" w:cstheme="majorBidi"/>
          <w:color w:val="222222"/>
          <w:sz w:val="24"/>
          <w:szCs w:val="24"/>
          <w:lang w:eastAsia="en-GB"/>
        </w:rPr>
        <w:t xml:space="preserve"> factors</w:t>
      </w:r>
      <w:r w:rsidRPr="00F25C12">
        <w:rPr>
          <w:rFonts w:asciiTheme="majorBidi" w:eastAsia="Times New Roman" w:hAnsiTheme="majorBidi" w:cstheme="majorBidi"/>
          <w:color w:val="222222"/>
          <w:sz w:val="24"/>
          <w:szCs w:val="24"/>
          <w:lang w:eastAsia="en-GB"/>
        </w:rPr>
        <w:t xml:space="preserve"> in the healing process </w:t>
      </w:r>
      <w:r w:rsidR="004E1FE0" w:rsidRPr="00F25C12">
        <w:rPr>
          <w:rFonts w:asciiTheme="majorBidi" w:eastAsia="Times New Roman" w:hAnsiTheme="majorBidi" w:cstheme="majorBidi"/>
          <w:color w:val="222222"/>
          <w:sz w:val="24"/>
          <w:szCs w:val="24"/>
          <w:lang w:eastAsia="en-GB"/>
        </w:rPr>
        <w:t xml:space="preserve">of gastric ulcers but until now the possible relation between these factors and susceptibility to </w:t>
      </w:r>
      <w:r w:rsidR="00BC107B" w:rsidRPr="00F25C12">
        <w:rPr>
          <w:rFonts w:asciiTheme="majorBidi" w:eastAsia="Times New Roman" w:hAnsiTheme="majorBidi" w:cstheme="majorBidi"/>
          <w:color w:val="222222"/>
          <w:sz w:val="24"/>
          <w:szCs w:val="24"/>
          <w:lang w:eastAsia="en-GB"/>
        </w:rPr>
        <w:t xml:space="preserve">H. pylori </w:t>
      </w:r>
      <w:r w:rsidR="004E1FE0" w:rsidRPr="00F25C12">
        <w:rPr>
          <w:rFonts w:asciiTheme="majorBidi" w:eastAsia="Times New Roman" w:hAnsiTheme="majorBidi" w:cstheme="majorBidi"/>
          <w:color w:val="222222"/>
          <w:sz w:val="24"/>
          <w:szCs w:val="24"/>
          <w:lang w:eastAsia="en-GB"/>
        </w:rPr>
        <w:t>treatment haven’t been studied. The</w:t>
      </w:r>
      <w:r w:rsidRPr="00F25C12">
        <w:rPr>
          <w:rFonts w:asciiTheme="majorBidi" w:eastAsia="Times New Roman" w:hAnsiTheme="majorBidi" w:cstheme="majorBidi"/>
          <w:color w:val="222222"/>
          <w:sz w:val="24"/>
          <w:szCs w:val="24"/>
          <w:lang w:eastAsia="en-GB"/>
        </w:rPr>
        <w:t xml:space="preserve"> aim of this study was to evaluate the level of MMP-2 in patients with refractory peptic ulcers.</w:t>
      </w:r>
    </w:p>
    <w:p w14:paraId="08B38FF4" w14:textId="4B227BFD" w:rsidR="008144B3" w:rsidRPr="00F25C12" w:rsidRDefault="008144B3" w:rsidP="00D95648">
      <w:pPr>
        <w:spacing w:after="0" w:line="240" w:lineRule="auto"/>
        <w:jc w:val="both"/>
        <w:rPr>
          <w:rFonts w:asciiTheme="majorBidi" w:eastAsia="Times New Roman" w:hAnsiTheme="majorBidi" w:cstheme="majorBidi"/>
          <w:color w:val="222222"/>
          <w:sz w:val="24"/>
          <w:szCs w:val="24"/>
          <w:lang w:eastAsia="en-GB"/>
        </w:rPr>
      </w:pPr>
      <w:r w:rsidRPr="00F25C12">
        <w:rPr>
          <w:rFonts w:asciiTheme="majorBidi" w:eastAsia="Times New Roman" w:hAnsiTheme="majorBidi" w:cstheme="majorBidi"/>
          <w:color w:val="222222"/>
          <w:sz w:val="24"/>
          <w:szCs w:val="24"/>
          <w:lang w:eastAsia="en-GB"/>
        </w:rPr>
        <w:t xml:space="preserve">In this analytical cross-sectional study, ninety-five H. pylori-positive patients afflicted with peptic ulcers were enrolled. All of the patients underwent H. pylori eradication therapy. Based on the results of stool antigen tests, fifty-four cases were assigned to the group of patients refractory to the treatment, and forty-one cases were assigned to the treatment-sensitive group. Moreover, twenty other participants with normal endoscopy were also included in the study as the control group. After obtaining written informed consent, five </w:t>
      </w:r>
      <w:r w:rsidR="000365FA" w:rsidRPr="00F25C12">
        <w:rPr>
          <w:rFonts w:asciiTheme="majorBidi" w:eastAsia="Times New Roman" w:hAnsiTheme="majorBidi" w:cstheme="majorBidi"/>
          <w:color w:val="222222"/>
          <w:sz w:val="24"/>
          <w:szCs w:val="24"/>
          <w:lang w:eastAsia="en-GB"/>
        </w:rPr>
        <w:t xml:space="preserve">millilitre </w:t>
      </w:r>
      <w:r w:rsidRPr="00F25C12">
        <w:rPr>
          <w:rFonts w:asciiTheme="majorBidi" w:eastAsia="Times New Roman" w:hAnsiTheme="majorBidi" w:cstheme="majorBidi"/>
          <w:color w:val="222222"/>
          <w:sz w:val="24"/>
          <w:szCs w:val="24"/>
          <w:lang w:eastAsia="en-GB"/>
        </w:rPr>
        <w:t>of intravenous blood was taken from each of the participants to determine their serum MMP-2 using an enzyme-linked immunosorbent assay (ELISA). </w:t>
      </w:r>
    </w:p>
    <w:p w14:paraId="6BA63684" w14:textId="518B9E09" w:rsidR="008144B3" w:rsidRPr="00F25C12" w:rsidRDefault="008144B3" w:rsidP="00D95648">
      <w:pPr>
        <w:spacing w:after="0" w:line="240" w:lineRule="auto"/>
        <w:jc w:val="both"/>
        <w:rPr>
          <w:rFonts w:asciiTheme="majorBidi" w:eastAsia="Times New Roman" w:hAnsiTheme="majorBidi" w:cstheme="majorBidi"/>
          <w:color w:val="222222"/>
          <w:sz w:val="24"/>
          <w:szCs w:val="24"/>
          <w:lang w:eastAsia="en-GB"/>
        </w:rPr>
      </w:pPr>
      <w:r w:rsidRPr="00F25C12">
        <w:rPr>
          <w:rFonts w:asciiTheme="majorBidi" w:eastAsia="Times New Roman" w:hAnsiTheme="majorBidi" w:cstheme="majorBidi"/>
          <w:color w:val="222222"/>
          <w:sz w:val="24"/>
          <w:szCs w:val="24"/>
          <w:lang w:eastAsia="en-GB"/>
        </w:rPr>
        <w:t xml:space="preserve">In patients with peptic ulcers, the level of MMP-2 was </w:t>
      </w:r>
      <w:r w:rsidR="00BC107B" w:rsidRPr="00F25C12">
        <w:rPr>
          <w:rFonts w:asciiTheme="majorBidi" w:eastAsia="Times New Roman" w:hAnsiTheme="majorBidi" w:cstheme="majorBidi"/>
          <w:color w:val="222222"/>
          <w:sz w:val="24"/>
          <w:szCs w:val="24"/>
          <w:lang w:eastAsia="en-GB"/>
        </w:rPr>
        <w:t xml:space="preserve">seen to be </w:t>
      </w:r>
      <w:r w:rsidRPr="00F25C12">
        <w:rPr>
          <w:rFonts w:asciiTheme="majorBidi" w:eastAsia="Times New Roman" w:hAnsiTheme="majorBidi" w:cstheme="majorBidi"/>
          <w:color w:val="222222"/>
          <w:sz w:val="24"/>
          <w:szCs w:val="24"/>
          <w:lang w:eastAsia="en-GB"/>
        </w:rPr>
        <w:t xml:space="preserve">higher than controls </w:t>
      </w:r>
      <w:r w:rsidR="00C26BD6" w:rsidRPr="00F25C12">
        <w:rPr>
          <w:rFonts w:asciiTheme="majorBidi" w:eastAsia="Times New Roman" w:hAnsiTheme="majorBidi" w:cstheme="majorBidi"/>
          <w:color w:val="222222"/>
          <w:sz w:val="24"/>
          <w:szCs w:val="24"/>
          <w:lang w:eastAsia="en-GB"/>
        </w:rPr>
        <w:t>and m</w:t>
      </w:r>
      <w:r w:rsidR="005D6675" w:rsidRPr="00F25C12">
        <w:rPr>
          <w:rFonts w:asciiTheme="majorBidi" w:eastAsia="Times New Roman" w:hAnsiTheme="majorBidi" w:cstheme="majorBidi"/>
          <w:color w:val="222222"/>
          <w:sz w:val="24"/>
          <w:szCs w:val="24"/>
          <w:lang w:eastAsia="en-GB"/>
        </w:rPr>
        <w:t xml:space="preserve">eaningful results were obtained between the </w:t>
      </w:r>
      <w:r w:rsidRPr="00F25C12">
        <w:rPr>
          <w:rFonts w:asciiTheme="majorBidi" w:eastAsia="Times New Roman" w:hAnsiTheme="majorBidi" w:cstheme="majorBidi"/>
          <w:color w:val="222222"/>
          <w:sz w:val="24"/>
          <w:szCs w:val="24"/>
          <w:lang w:eastAsia="en-GB"/>
        </w:rPr>
        <w:t xml:space="preserve">MMP-2 level </w:t>
      </w:r>
      <w:r w:rsidR="005D6675" w:rsidRPr="00F25C12">
        <w:rPr>
          <w:rFonts w:asciiTheme="majorBidi" w:eastAsia="Times New Roman" w:hAnsiTheme="majorBidi" w:cstheme="majorBidi"/>
          <w:color w:val="222222"/>
          <w:sz w:val="24"/>
          <w:szCs w:val="24"/>
          <w:lang w:eastAsia="en-GB"/>
        </w:rPr>
        <w:t xml:space="preserve">and </w:t>
      </w:r>
      <w:r w:rsidRPr="00F25C12">
        <w:rPr>
          <w:rFonts w:asciiTheme="majorBidi" w:eastAsia="Times New Roman" w:hAnsiTheme="majorBidi" w:cstheme="majorBidi"/>
          <w:color w:val="222222"/>
          <w:sz w:val="24"/>
          <w:szCs w:val="24"/>
          <w:lang w:eastAsia="en-GB"/>
        </w:rPr>
        <w:t xml:space="preserve">patients’ response to treatment (P&lt;0.05). </w:t>
      </w:r>
    </w:p>
    <w:p w14:paraId="62864C9A" w14:textId="3E4597B9" w:rsidR="008144B3" w:rsidRPr="00F25C12" w:rsidRDefault="00636C98" w:rsidP="00D95648">
      <w:pPr>
        <w:spacing w:after="0" w:line="240" w:lineRule="auto"/>
        <w:jc w:val="both"/>
        <w:rPr>
          <w:rFonts w:asciiTheme="majorBidi" w:eastAsia="Times New Roman" w:hAnsiTheme="majorBidi" w:cstheme="majorBidi"/>
          <w:color w:val="222222"/>
          <w:sz w:val="24"/>
          <w:szCs w:val="24"/>
          <w:lang w:eastAsia="en-GB"/>
        </w:rPr>
      </w:pPr>
      <w:r w:rsidRPr="00F25C12">
        <w:rPr>
          <w:rFonts w:asciiTheme="majorBidi" w:eastAsia="Times New Roman" w:hAnsiTheme="majorBidi" w:cstheme="majorBidi"/>
          <w:color w:val="222222"/>
          <w:sz w:val="24"/>
          <w:szCs w:val="24"/>
          <w:lang w:eastAsia="en-GB"/>
        </w:rPr>
        <w:t xml:space="preserve">Our findings indicates that the </w:t>
      </w:r>
      <w:r w:rsidR="008144B3" w:rsidRPr="00F25C12">
        <w:rPr>
          <w:rFonts w:asciiTheme="majorBidi" w:eastAsia="Times New Roman" w:hAnsiTheme="majorBidi" w:cstheme="majorBidi"/>
          <w:color w:val="222222"/>
          <w:sz w:val="24"/>
          <w:szCs w:val="24"/>
          <w:lang w:eastAsia="en-GB"/>
        </w:rPr>
        <w:t xml:space="preserve">level of MMP-2 </w:t>
      </w:r>
      <w:r w:rsidRPr="00F25C12">
        <w:rPr>
          <w:rFonts w:asciiTheme="majorBidi" w:eastAsia="Times New Roman" w:hAnsiTheme="majorBidi" w:cstheme="majorBidi"/>
          <w:color w:val="222222"/>
          <w:sz w:val="24"/>
          <w:szCs w:val="24"/>
          <w:lang w:eastAsia="en-GB"/>
        </w:rPr>
        <w:t xml:space="preserve">is </w:t>
      </w:r>
      <w:r w:rsidR="008144B3" w:rsidRPr="00F25C12">
        <w:rPr>
          <w:rFonts w:asciiTheme="majorBidi" w:eastAsia="Times New Roman" w:hAnsiTheme="majorBidi" w:cstheme="majorBidi"/>
          <w:color w:val="222222"/>
          <w:sz w:val="24"/>
          <w:szCs w:val="24"/>
          <w:lang w:eastAsia="en-GB"/>
        </w:rPr>
        <w:t>related to the response to treatment in patients with peptic ulcers</w:t>
      </w:r>
      <w:r w:rsidRPr="00F25C12">
        <w:rPr>
          <w:rFonts w:asciiTheme="majorBidi" w:eastAsia="Times New Roman" w:hAnsiTheme="majorBidi" w:cstheme="majorBidi"/>
          <w:color w:val="222222"/>
          <w:sz w:val="24"/>
          <w:szCs w:val="24"/>
          <w:lang w:eastAsia="en-GB"/>
        </w:rPr>
        <w:t>. I</w:t>
      </w:r>
      <w:r w:rsidR="008144B3" w:rsidRPr="00F25C12">
        <w:rPr>
          <w:rFonts w:asciiTheme="majorBidi" w:eastAsia="Times New Roman" w:hAnsiTheme="majorBidi" w:cstheme="majorBidi"/>
          <w:color w:val="222222"/>
          <w:sz w:val="24"/>
          <w:szCs w:val="24"/>
          <w:lang w:eastAsia="en-GB"/>
        </w:rPr>
        <w:t>t is possible to predict the likelihood of resistance by measuring it in peptic ulcer patients. </w:t>
      </w:r>
    </w:p>
    <w:p w14:paraId="4330D475" w14:textId="743AA3D2" w:rsidR="0090149C" w:rsidRPr="00F25C12" w:rsidRDefault="0090149C">
      <w:pPr>
        <w:rPr>
          <w:rFonts w:asciiTheme="majorBidi" w:hAnsiTheme="majorBidi" w:cstheme="majorBidi"/>
          <w:sz w:val="24"/>
          <w:szCs w:val="24"/>
        </w:rPr>
      </w:pPr>
    </w:p>
    <w:p w14:paraId="08ABA65B" w14:textId="7A6A72DE" w:rsidR="00C26BD6" w:rsidRPr="00F25C12" w:rsidRDefault="00C26BD6">
      <w:pPr>
        <w:rPr>
          <w:rFonts w:asciiTheme="majorBidi" w:hAnsiTheme="majorBidi" w:cstheme="majorBidi"/>
          <w:b/>
          <w:bCs/>
          <w:sz w:val="24"/>
          <w:szCs w:val="24"/>
        </w:rPr>
      </w:pPr>
      <w:r w:rsidRPr="00F25C12">
        <w:rPr>
          <w:rFonts w:asciiTheme="majorBidi" w:hAnsiTheme="majorBidi" w:cstheme="majorBidi"/>
          <w:b/>
          <w:bCs/>
          <w:sz w:val="24"/>
          <w:szCs w:val="24"/>
        </w:rPr>
        <w:t>Biography:</w:t>
      </w:r>
    </w:p>
    <w:p w14:paraId="46FBF9A8" w14:textId="24ACA54E" w:rsidR="00C26BD6" w:rsidRPr="00F25C12" w:rsidRDefault="00C26BD6" w:rsidP="00F25C12">
      <w:pPr>
        <w:rPr>
          <w:rFonts w:asciiTheme="majorBidi" w:hAnsiTheme="majorBidi" w:cstheme="majorBidi"/>
          <w:sz w:val="24"/>
          <w:szCs w:val="24"/>
        </w:rPr>
      </w:pPr>
      <w:r w:rsidRPr="00F25C12">
        <w:rPr>
          <w:rFonts w:asciiTheme="majorBidi" w:hAnsiTheme="majorBidi" w:cstheme="majorBidi"/>
          <w:sz w:val="24"/>
          <w:szCs w:val="24"/>
        </w:rPr>
        <w:t>Mohammad Negaresh</w:t>
      </w:r>
      <w:r w:rsidR="0000419B" w:rsidRPr="00F25C12">
        <w:rPr>
          <w:rFonts w:asciiTheme="majorBidi" w:hAnsiTheme="majorBidi" w:cstheme="majorBidi"/>
          <w:sz w:val="24"/>
          <w:szCs w:val="24"/>
        </w:rPr>
        <w:t>,</w:t>
      </w:r>
      <w:r w:rsidRPr="00F25C12">
        <w:rPr>
          <w:rFonts w:asciiTheme="majorBidi" w:hAnsiTheme="majorBidi" w:cstheme="majorBidi"/>
          <w:sz w:val="24"/>
          <w:szCs w:val="24"/>
        </w:rPr>
        <w:t xml:space="preserve"> </w:t>
      </w:r>
      <w:r w:rsidR="007F6713" w:rsidRPr="00F25C12">
        <w:rPr>
          <w:rFonts w:asciiTheme="majorBidi" w:hAnsiTheme="majorBidi" w:cstheme="majorBidi"/>
          <w:sz w:val="24"/>
          <w:szCs w:val="24"/>
        </w:rPr>
        <w:t>internal medicine</w:t>
      </w:r>
      <w:r w:rsidR="007F6713" w:rsidRPr="00F25C12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7F6713" w:rsidRPr="00F25C12">
        <w:rPr>
          <w:rFonts w:asciiTheme="majorBidi" w:hAnsiTheme="majorBidi" w:cstheme="majorBidi"/>
          <w:sz w:val="24"/>
          <w:szCs w:val="24"/>
          <w:lang w:val="en-US"/>
        </w:rPr>
        <w:t>specialist</w:t>
      </w:r>
      <w:r w:rsidRPr="00F25C12">
        <w:rPr>
          <w:rFonts w:asciiTheme="majorBidi" w:hAnsiTheme="majorBidi" w:cstheme="majorBidi"/>
          <w:sz w:val="24"/>
          <w:szCs w:val="24"/>
        </w:rPr>
        <w:t xml:space="preserve"> </w:t>
      </w:r>
      <w:r w:rsidR="007F6713" w:rsidRPr="00F25C12">
        <w:rPr>
          <w:rFonts w:asciiTheme="majorBidi" w:hAnsiTheme="majorBidi" w:cstheme="majorBidi"/>
          <w:sz w:val="24"/>
          <w:szCs w:val="24"/>
        </w:rPr>
        <w:t xml:space="preserve">who has carried out numerous studies </w:t>
      </w:r>
      <w:r w:rsidR="0000419B" w:rsidRPr="00F25C12">
        <w:rPr>
          <w:rFonts w:asciiTheme="majorBidi" w:hAnsiTheme="majorBidi" w:cstheme="majorBidi"/>
          <w:sz w:val="24"/>
          <w:szCs w:val="24"/>
        </w:rPr>
        <w:t>on</w:t>
      </w:r>
      <w:r w:rsidRPr="00F25C12">
        <w:rPr>
          <w:rFonts w:asciiTheme="majorBidi" w:hAnsiTheme="majorBidi" w:cstheme="majorBidi"/>
          <w:sz w:val="24"/>
          <w:szCs w:val="24"/>
        </w:rPr>
        <w:t xml:space="preserve"> </w:t>
      </w:r>
      <w:r w:rsidR="0000419B" w:rsidRPr="00F25C12">
        <w:rPr>
          <w:rFonts w:asciiTheme="majorBidi" w:hAnsiTheme="majorBidi" w:cstheme="majorBidi"/>
          <w:sz w:val="24"/>
          <w:szCs w:val="24"/>
        </w:rPr>
        <w:t xml:space="preserve">Helicobacter pylori infection, Irritable bowel syndrome, COVID-19 infection, and </w:t>
      </w:r>
      <w:r w:rsidR="00F25C12" w:rsidRPr="00F25C12">
        <w:rPr>
          <w:rFonts w:asciiTheme="majorBidi" w:hAnsiTheme="majorBidi" w:cstheme="majorBidi"/>
          <w:sz w:val="24"/>
          <w:szCs w:val="24"/>
        </w:rPr>
        <w:t>pulmonology</w:t>
      </w:r>
    </w:p>
    <w:p w14:paraId="4260BE42" w14:textId="77777777" w:rsidR="00E25EF4" w:rsidRPr="00F25C12" w:rsidRDefault="00E25EF4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0CED5BE0" w14:textId="5EE95DBC" w:rsidR="00C26BD6" w:rsidRPr="00F25C12" w:rsidRDefault="0000419B">
      <w:pPr>
        <w:rPr>
          <w:rFonts w:asciiTheme="majorBidi" w:hAnsiTheme="majorBidi" w:cstheme="majorBidi"/>
          <w:b/>
          <w:bCs/>
          <w:sz w:val="24"/>
          <w:szCs w:val="24"/>
        </w:rPr>
      </w:pPr>
      <w:r w:rsidRPr="00F25C12">
        <w:rPr>
          <w:rFonts w:asciiTheme="majorBidi" w:hAnsiTheme="majorBidi" w:cstheme="majorBidi"/>
          <w:b/>
          <w:bCs/>
          <w:sz w:val="24"/>
          <w:szCs w:val="24"/>
        </w:rPr>
        <w:t>References</w:t>
      </w:r>
      <w:r w:rsidR="00D95648" w:rsidRPr="00F25C12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14:paraId="62E71FE8" w14:textId="34CDFCEE" w:rsidR="00D95648" w:rsidRPr="00F25C12" w:rsidRDefault="00D95648" w:rsidP="00F25C12">
      <w:pPr>
        <w:rPr>
          <w:rFonts w:asciiTheme="majorBidi" w:hAnsiTheme="majorBidi" w:cstheme="majorBidi"/>
          <w:sz w:val="24"/>
          <w:szCs w:val="24"/>
        </w:rPr>
      </w:pPr>
      <w:hyperlink r:id="rId4" w:history="1">
        <w:proofErr w:type="spellStart"/>
        <w:r w:rsidRPr="00F25C12">
          <w:rPr>
            <w:rStyle w:val="Hyperlink"/>
            <w:rFonts w:asciiTheme="majorBidi" w:hAnsiTheme="majorBidi" w:cstheme="majorBidi"/>
            <w:b/>
            <w:bCs/>
            <w:sz w:val="24"/>
            <w:szCs w:val="24"/>
          </w:rPr>
          <w:t>Extragastrointestinal</w:t>
        </w:r>
        <w:proofErr w:type="spellEnd"/>
        <w:r w:rsidRPr="00F25C12">
          <w:rPr>
            <w:rStyle w:val="Hyperlink"/>
            <w:rFonts w:asciiTheme="majorBidi" w:hAnsiTheme="majorBidi" w:cstheme="majorBidi"/>
            <w:b/>
            <w:bCs/>
            <w:sz w:val="24"/>
            <w:szCs w:val="24"/>
          </w:rPr>
          <w:t xml:space="preserve"> manifestations </w:t>
        </w:r>
        <w:r w:rsidRPr="00F25C12">
          <w:rPr>
            <w:rStyle w:val="Hyperlink"/>
            <w:rFonts w:asciiTheme="majorBidi" w:hAnsiTheme="majorBidi" w:cstheme="majorBidi"/>
            <w:b/>
            <w:bCs/>
            <w:sz w:val="24"/>
            <w:szCs w:val="24"/>
          </w:rPr>
          <w:t>o</w:t>
        </w:r>
        <w:r w:rsidRPr="00F25C12">
          <w:rPr>
            <w:rStyle w:val="Hyperlink"/>
            <w:rFonts w:asciiTheme="majorBidi" w:hAnsiTheme="majorBidi" w:cstheme="majorBidi"/>
            <w:b/>
            <w:bCs/>
            <w:sz w:val="24"/>
            <w:szCs w:val="24"/>
          </w:rPr>
          <w:t>f Helicobacter pylori infection: facts or myth? A critical review.</w:t>
        </w:r>
      </w:hyperlink>
      <w:r w:rsidRPr="00F25C12">
        <w:rPr>
          <w:rFonts w:asciiTheme="majorBidi" w:hAnsiTheme="majorBidi" w:cstheme="majorBidi"/>
          <w:sz w:val="24"/>
          <w:szCs w:val="24"/>
        </w:rPr>
        <w:t xml:space="preserve"> </w:t>
      </w:r>
      <w:r w:rsidR="00E25EF4" w:rsidRPr="00F25C12">
        <w:rPr>
          <w:rFonts w:asciiTheme="majorBidi" w:hAnsiTheme="majorBidi" w:cstheme="majorBidi"/>
          <w:sz w:val="24"/>
          <w:szCs w:val="24"/>
        </w:rPr>
        <w:t xml:space="preserve">Tan HJ, Goh KL. </w:t>
      </w:r>
      <w:r w:rsidRPr="00F25C12">
        <w:rPr>
          <w:rFonts w:asciiTheme="majorBidi" w:hAnsiTheme="majorBidi" w:cstheme="majorBidi"/>
          <w:sz w:val="24"/>
          <w:szCs w:val="24"/>
        </w:rPr>
        <w:t>J</w:t>
      </w:r>
      <w:r w:rsidR="00F25C12" w:rsidRPr="00F25C12">
        <w:rPr>
          <w:rFonts w:asciiTheme="majorBidi" w:hAnsiTheme="majorBidi" w:cstheme="majorBidi"/>
          <w:sz w:val="24"/>
          <w:szCs w:val="24"/>
        </w:rPr>
        <w:t>ournal of</w:t>
      </w:r>
      <w:r w:rsidRPr="00F25C12">
        <w:rPr>
          <w:rFonts w:asciiTheme="majorBidi" w:hAnsiTheme="majorBidi" w:cstheme="majorBidi"/>
          <w:sz w:val="24"/>
          <w:szCs w:val="24"/>
        </w:rPr>
        <w:t xml:space="preserve"> Dig</w:t>
      </w:r>
      <w:r w:rsidR="00F25C12" w:rsidRPr="00F25C12">
        <w:rPr>
          <w:rFonts w:asciiTheme="majorBidi" w:hAnsiTheme="majorBidi" w:cstheme="majorBidi"/>
          <w:sz w:val="24"/>
          <w:szCs w:val="24"/>
        </w:rPr>
        <w:t>estive</w:t>
      </w:r>
      <w:r w:rsidRPr="00F25C12">
        <w:rPr>
          <w:rFonts w:asciiTheme="majorBidi" w:hAnsiTheme="majorBidi" w:cstheme="majorBidi"/>
          <w:sz w:val="24"/>
          <w:szCs w:val="24"/>
        </w:rPr>
        <w:t xml:space="preserve"> Dis</w:t>
      </w:r>
      <w:r w:rsidR="00F25C12" w:rsidRPr="00F25C12">
        <w:rPr>
          <w:rFonts w:asciiTheme="majorBidi" w:hAnsiTheme="majorBidi" w:cstheme="majorBidi"/>
          <w:sz w:val="24"/>
          <w:szCs w:val="24"/>
        </w:rPr>
        <w:t>eases</w:t>
      </w:r>
      <w:r w:rsidRPr="00F25C12">
        <w:rPr>
          <w:rFonts w:asciiTheme="majorBidi" w:hAnsiTheme="majorBidi" w:cstheme="majorBidi"/>
          <w:sz w:val="24"/>
          <w:szCs w:val="24"/>
        </w:rPr>
        <w:t>. 2012</w:t>
      </w:r>
    </w:p>
    <w:p w14:paraId="57BFFE91" w14:textId="5F05EDEE" w:rsidR="00D95648" w:rsidRPr="00F25C12" w:rsidRDefault="00D95648" w:rsidP="00F25C12">
      <w:pPr>
        <w:rPr>
          <w:rFonts w:asciiTheme="majorBidi" w:hAnsiTheme="majorBidi" w:cstheme="majorBidi"/>
          <w:sz w:val="24"/>
          <w:szCs w:val="24"/>
        </w:rPr>
      </w:pPr>
      <w:hyperlink r:id="rId5" w:history="1">
        <w:r w:rsidRPr="00F25C12">
          <w:rPr>
            <w:rStyle w:val="Hyperlink"/>
            <w:rFonts w:asciiTheme="majorBidi" w:hAnsiTheme="majorBidi" w:cstheme="majorBidi"/>
            <w:b/>
            <w:bCs/>
            <w:sz w:val="24"/>
            <w:szCs w:val="24"/>
          </w:rPr>
          <w:t>Enhanced systemic matrix metalloproteinase response in Helicobacter pylori gastritis</w:t>
        </w:r>
        <w:r w:rsidRPr="00F25C12">
          <w:rPr>
            <w:rStyle w:val="Hyperlink"/>
            <w:rFonts w:asciiTheme="majorBidi" w:hAnsiTheme="majorBidi" w:cstheme="majorBidi"/>
            <w:sz w:val="24"/>
            <w:szCs w:val="24"/>
          </w:rPr>
          <w:t>.</w:t>
        </w:r>
      </w:hyperlink>
      <w:r w:rsidRPr="00F25C1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E25EF4" w:rsidRPr="00F25C12">
        <w:rPr>
          <w:rFonts w:asciiTheme="majorBidi" w:hAnsiTheme="majorBidi" w:cstheme="majorBidi"/>
          <w:sz w:val="24"/>
          <w:szCs w:val="24"/>
        </w:rPr>
        <w:t>Rautelin</w:t>
      </w:r>
      <w:proofErr w:type="spellEnd"/>
      <w:r w:rsidR="00E25EF4" w:rsidRPr="00F25C12">
        <w:rPr>
          <w:rFonts w:asciiTheme="majorBidi" w:hAnsiTheme="majorBidi" w:cstheme="majorBidi"/>
          <w:sz w:val="24"/>
          <w:szCs w:val="24"/>
        </w:rPr>
        <w:t xml:space="preserve"> HI, </w:t>
      </w:r>
      <w:proofErr w:type="spellStart"/>
      <w:r w:rsidR="00E25EF4" w:rsidRPr="00F25C12">
        <w:rPr>
          <w:rFonts w:asciiTheme="majorBidi" w:hAnsiTheme="majorBidi" w:cstheme="majorBidi"/>
          <w:sz w:val="24"/>
          <w:szCs w:val="24"/>
        </w:rPr>
        <w:t>Oksanen</w:t>
      </w:r>
      <w:proofErr w:type="spellEnd"/>
      <w:r w:rsidR="00E25EF4" w:rsidRPr="00F25C12">
        <w:rPr>
          <w:rFonts w:asciiTheme="majorBidi" w:hAnsiTheme="majorBidi" w:cstheme="majorBidi"/>
          <w:sz w:val="24"/>
          <w:szCs w:val="24"/>
        </w:rPr>
        <w:t xml:space="preserve"> AM, </w:t>
      </w:r>
      <w:proofErr w:type="spellStart"/>
      <w:r w:rsidR="00E25EF4" w:rsidRPr="00F25C12">
        <w:rPr>
          <w:rFonts w:asciiTheme="majorBidi" w:hAnsiTheme="majorBidi" w:cstheme="majorBidi"/>
          <w:sz w:val="24"/>
          <w:szCs w:val="24"/>
        </w:rPr>
        <w:t>Veijola</w:t>
      </w:r>
      <w:proofErr w:type="spellEnd"/>
      <w:r w:rsidR="00E25EF4" w:rsidRPr="00F25C12">
        <w:rPr>
          <w:rFonts w:asciiTheme="majorBidi" w:hAnsiTheme="majorBidi" w:cstheme="majorBidi"/>
          <w:sz w:val="24"/>
          <w:szCs w:val="24"/>
        </w:rPr>
        <w:t xml:space="preserve"> LI, </w:t>
      </w:r>
      <w:proofErr w:type="spellStart"/>
      <w:r w:rsidR="00E25EF4" w:rsidRPr="00F25C12">
        <w:rPr>
          <w:rFonts w:asciiTheme="majorBidi" w:hAnsiTheme="majorBidi" w:cstheme="majorBidi"/>
          <w:sz w:val="24"/>
          <w:szCs w:val="24"/>
        </w:rPr>
        <w:t>Sipponen</w:t>
      </w:r>
      <w:proofErr w:type="spellEnd"/>
      <w:r w:rsidR="00E25EF4" w:rsidRPr="00F25C12">
        <w:rPr>
          <w:rFonts w:asciiTheme="majorBidi" w:hAnsiTheme="majorBidi" w:cstheme="majorBidi"/>
          <w:sz w:val="24"/>
          <w:szCs w:val="24"/>
        </w:rPr>
        <w:t xml:space="preserve"> PI, </w:t>
      </w:r>
      <w:proofErr w:type="spellStart"/>
      <w:r w:rsidR="00E25EF4" w:rsidRPr="00F25C12">
        <w:rPr>
          <w:rFonts w:asciiTheme="majorBidi" w:hAnsiTheme="majorBidi" w:cstheme="majorBidi"/>
          <w:sz w:val="24"/>
          <w:szCs w:val="24"/>
        </w:rPr>
        <w:t>Tervahartiala</w:t>
      </w:r>
      <w:proofErr w:type="spellEnd"/>
      <w:r w:rsidR="00E25EF4" w:rsidRPr="00F25C12">
        <w:rPr>
          <w:rFonts w:asciiTheme="majorBidi" w:hAnsiTheme="majorBidi" w:cstheme="majorBidi"/>
          <w:sz w:val="24"/>
          <w:szCs w:val="24"/>
        </w:rPr>
        <w:t xml:space="preserve"> TI, </w:t>
      </w:r>
      <w:proofErr w:type="spellStart"/>
      <w:r w:rsidR="00E25EF4" w:rsidRPr="00F25C12">
        <w:rPr>
          <w:rFonts w:asciiTheme="majorBidi" w:hAnsiTheme="majorBidi" w:cstheme="majorBidi"/>
          <w:sz w:val="24"/>
          <w:szCs w:val="24"/>
        </w:rPr>
        <w:t>Sorsa</w:t>
      </w:r>
      <w:proofErr w:type="spellEnd"/>
      <w:r w:rsidR="00E25EF4" w:rsidRPr="00F25C12">
        <w:rPr>
          <w:rFonts w:asciiTheme="majorBidi" w:hAnsiTheme="majorBidi" w:cstheme="majorBidi"/>
          <w:sz w:val="24"/>
          <w:szCs w:val="24"/>
        </w:rPr>
        <w:t xml:space="preserve"> TA, et al. </w:t>
      </w:r>
      <w:r w:rsidRPr="00F25C12">
        <w:rPr>
          <w:rFonts w:asciiTheme="majorBidi" w:hAnsiTheme="majorBidi" w:cstheme="majorBidi"/>
          <w:sz w:val="24"/>
          <w:szCs w:val="24"/>
        </w:rPr>
        <w:t>Ann</w:t>
      </w:r>
      <w:r w:rsidR="00F25C12" w:rsidRPr="00F25C12">
        <w:rPr>
          <w:rFonts w:asciiTheme="majorBidi" w:hAnsiTheme="majorBidi" w:cstheme="majorBidi"/>
          <w:sz w:val="24"/>
          <w:szCs w:val="24"/>
        </w:rPr>
        <w:t>ual</w:t>
      </w:r>
      <w:r w:rsidRPr="00F25C12">
        <w:rPr>
          <w:rFonts w:asciiTheme="majorBidi" w:hAnsiTheme="majorBidi" w:cstheme="majorBidi"/>
          <w:sz w:val="24"/>
          <w:szCs w:val="24"/>
        </w:rPr>
        <w:t xml:space="preserve"> Med</w:t>
      </w:r>
      <w:r w:rsidR="00F25C12" w:rsidRPr="00F25C12">
        <w:rPr>
          <w:rFonts w:asciiTheme="majorBidi" w:hAnsiTheme="majorBidi" w:cstheme="majorBidi"/>
          <w:sz w:val="24"/>
          <w:szCs w:val="24"/>
        </w:rPr>
        <w:t>icine</w:t>
      </w:r>
      <w:r w:rsidRPr="00F25C12">
        <w:rPr>
          <w:rFonts w:asciiTheme="majorBidi" w:hAnsiTheme="majorBidi" w:cstheme="majorBidi"/>
          <w:sz w:val="24"/>
          <w:szCs w:val="24"/>
        </w:rPr>
        <w:t>. 2009</w:t>
      </w:r>
    </w:p>
    <w:p w14:paraId="3E912FE4" w14:textId="77777777" w:rsidR="00D95648" w:rsidRPr="00F25C12" w:rsidRDefault="00D95648">
      <w:pPr>
        <w:rPr>
          <w:rFonts w:asciiTheme="majorBidi" w:hAnsiTheme="majorBidi" w:cstheme="majorBidi"/>
          <w:sz w:val="24"/>
          <w:szCs w:val="24"/>
        </w:rPr>
      </w:pPr>
    </w:p>
    <w:sectPr w:rsidR="00D95648" w:rsidRPr="00F25C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4B3"/>
    <w:rsid w:val="0000419B"/>
    <w:rsid w:val="000365FA"/>
    <w:rsid w:val="001332D4"/>
    <w:rsid w:val="001B72D6"/>
    <w:rsid w:val="004E1FE0"/>
    <w:rsid w:val="005D6675"/>
    <w:rsid w:val="006059FB"/>
    <w:rsid w:val="00636C98"/>
    <w:rsid w:val="007F6713"/>
    <w:rsid w:val="008144B3"/>
    <w:rsid w:val="0090149C"/>
    <w:rsid w:val="00B36742"/>
    <w:rsid w:val="00B643C1"/>
    <w:rsid w:val="00BC107B"/>
    <w:rsid w:val="00C26BD6"/>
    <w:rsid w:val="00D95648"/>
    <w:rsid w:val="00E25EF4"/>
    <w:rsid w:val="00F2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584B8"/>
  <w15:chartTrackingRefBased/>
  <w15:docId w15:val="{4F8A1000-B254-4A58-9AEF-C91AB2837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1F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FE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9564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956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537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39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9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5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8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0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4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Enhanced%20systemic%20matrix%20metalloproteinase%20response%20in%20Helicobacter%20pylori%20gastritis%20-%20PubMed.html" TargetMode="External"/><Relationship Id="rId4" Type="http://schemas.openxmlformats.org/officeDocument/2006/relationships/hyperlink" Target="Extragastrointestinal%20manifestations%20of%20Helicobacter%20pylori%20infection_%20facts%20or%20myth_%20A%20critical%20review%20-%20PubMed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Negaresh</dc:creator>
  <cp:keywords/>
  <dc:description/>
  <cp:lastModifiedBy>oveis.negaresh@live.com</cp:lastModifiedBy>
  <cp:revision>5</cp:revision>
  <dcterms:created xsi:type="dcterms:W3CDTF">2022-05-29T19:37:00Z</dcterms:created>
  <dcterms:modified xsi:type="dcterms:W3CDTF">2022-05-29T20:19:00Z</dcterms:modified>
</cp:coreProperties>
</file>