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2B5" w:rsidRDefault="002472B5" w:rsidP="000D7E3A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D7E3A">
        <w:rPr>
          <w:rFonts w:ascii="Times New Roman" w:hAnsi="Times New Roman" w:cs="Times New Roman"/>
          <w:b/>
          <w:bCs/>
          <w:sz w:val="32"/>
          <w:szCs w:val="32"/>
        </w:rPr>
        <w:t xml:space="preserve">Rapport </w:t>
      </w:r>
      <w:r w:rsidR="000D7E3A" w:rsidRPr="000D7E3A">
        <w:rPr>
          <w:rFonts w:ascii="Times New Roman" w:hAnsi="Times New Roman" w:cs="Times New Roman"/>
          <w:b/>
          <w:bCs/>
          <w:sz w:val="32"/>
          <w:szCs w:val="32"/>
        </w:rPr>
        <w:t>urée/créatinine</w:t>
      </w:r>
      <w:r w:rsidRPr="000D7E3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D7E3A" w:rsidRPr="000D7E3A">
        <w:rPr>
          <w:rFonts w:ascii="Times New Roman" w:hAnsi="Times New Roman" w:cs="Times New Roman"/>
          <w:b/>
          <w:bCs/>
          <w:sz w:val="32"/>
          <w:szCs w:val="32"/>
        </w:rPr>
        <w:t>prédicteur de</w:t>
      </w:r>
      <w:r w:rsidR="00411467" w:rsidRPr="000D7E3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D7E3A" w:rsidRPr="000D7E3A">
        <w:rPr>
          <w:rFonts w:ascii="Times New Roman" w:hAnsi="Times New Roman" w:cs="Times New Roman"/>
          <w:b/>
          <w:bCs/>
          <w:sz w:val="32"/>
          <w:szCs w:val="32"/>
        </w:rPr>
        <w:t>l’origine</w:t>
      </w:r>
      <w:r w:rsidR="00411467" w:rsidRPr="000D7E3A">
        <w:rPr>
          <w:rFonts w:ascii="Times New Roman" w:hAnsi="Times New Roman" w:cs="Times New Roman"/>
          <w:b/>
          <w:bCs/>
          <w:sz w:val="32"/>
          <w:szCs w:val="32"/>
        </w:rPr>
        <w:t xml:space="preserve"> haute ou basse du </w:t>
      </w:r>
      <w:r w:rsidR="000D7E3A" w:rsidRPr="000D7E3A">
        <w:rPr>
          <w:rFonts w:ascii="Times New Roman" w:hAnsi="Times New Roman" w:cs="Times New Roman"/>
          <w:b/>
          <w:bCs/>
          <w:sz w:val="32"/>
          <w:szCs w:val="32"/>
        </w:rPr>
        <w:t>méléna : étude</w:t>
      </w:r>
      <w:r w:rsidR="00292330" w:rsidRPr="000D7E3A">
        <w:rPr>
          <w:rFonts w:ascii="Times New Roman" w:hAnsi="Times New Roman" w:cs="Times New Roman"/>
          <w:b/>
          <w:bCs/>
          <w:sz w:val="32"/>
          <w:szCs w:val="32"/>
        </w:rPr>
        <w:t xml:space="preserve"> prospective</w:t>
      </w:r>
      <w:r w:rsidR="00411467" w:rsidRPr="000D7E3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1B4167" w:rsidRPr="001B4167" w:rsidRDefault="001B4167" w:rsidP="001B4167">
      <w:pPr>
        <w:spacing w:after="1" w:line="25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K.Gharbi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M.A.Lkousse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Y.Ismail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J.Atmani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A.Elfarouki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,</w:t>
      </w:r>
    </w:p>
    <w:p w:rsidR="001B4167" w:rsidRPr="001B4167" w:rsidRDefault="001B4167" w:rsidP="001B4167">
      <w:pPr>
        <w:spacing w:after="1" w:line="25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A.Ait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Errami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S.Oubaha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Z.Samlani</w:t>
      </w:r>
      <w:proofErr w:type="spell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K.Krati</w:t>
      </w:r>
      <w:proofErr w:type="spellEnd"/>
    </w:p>
    <w:p w:rsidR="001B4167" w:rsidRPr="001B4167" w:rsidRDefault="001B4167" w:rsidP="001B4167">
      <w:pPr>
        <w:spacing w:after="1" w:line="25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Service de </w:t>
      </w:r>
      <w:proofErr w:type="spell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gastroenterologie</w:t>
      </w:r>
      <w:proofErr w:type="gramStart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,CHU</w:t>
      </w:r>
      <w:proofErr w:type="spellEnd"/>
      <w:proofErr w:type="gramEnd"/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 Mohammed VI Marrakech Maroc</w:t>
      </w:r>
    </w:p>
    <w:p w:rsidR="001B4167" w:rsidRPr="001B4167" w:rsidRDefault="001B4167" w:rsidP="001B4167">
      <w:pPr>
        <w:spacing w:after="1" w:line="25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r w:rsidRPr="001B4167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Gmail:khalidgharbi@gmail.com</w:t>
      </w:r>
    </w:p>
    <w:p w:rsidR="001B4167" w:rsidRPr="000D7E3A" w:rsidRDefault="001B4167" w:rsidP="000D7E3A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2472B5" w:rsidRPr="000D7E3A" w:rsidRDefault="0083548B" w:rsidP="000D7E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Résumé</w:t>
      </w:r>
      <w:r w:rsidRPr="000D7E3A">
        <w:rPr>
          <w:rFonts w:ascii="Times New Roman" w:hAnsi="Times New Roman" w:cs="Times New Roman"/>
          <w:b/>
          <w:bCs/>
          <w:sz w:val="28"/>
          <w:szCs w:val="28"/>
        </w:rPr>
        <w:t> :</w:t>
      </w:r>
    </w:p>
    <w:p w:rsidR="00411467" w:rsidRPr="000D7E3A" w:rsidRDefault="000D7E3A" w:rsidP="000D7E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E3A">
        <w:rPr>
          <w:rFonts w:ascii="Times New Roman" w:hAnsi="Times New Roman" w:cs="Times New Roman"/>
          <w:b/>
          <w:bCs/>
          <w:sz w:val="28"/>
          <w:szCs w:val="28"/>
        </w:rPr>
        <w:t>Introduction :</w:t>
      </w:r>
    </w:p>
    <w:p w:rsidR="00411467" w:rsidRPr="000D7E3A" w:rsidRDefault="00411467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 w:rsidRPr="000D7E3A">
        <w:rPr>
          <w:rFonts w:ascii="Times New Roman" w:hAnsi="Times New Roman" w:cs="Times New Roman"/>
          <w:sz w:val="28"/>
          <w:szCs w:val="28"/>
        </w:rPr>
        <w:t>Chez les patients présentant un saignement gastro-intestinal (GI), la source de saignement est incertaine en l'absence d'hématémèse.</w:t>
      </w:r>
    </w:p>
    <w:p w:rsidR="00411467" w:rsidRPr="000D7E3A" w:rsidRDefault="00411467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 w:rsidRPr="000D7E3A">
        <w:rPr>
          <w:rFonts w:ascii="Times New Roman" w:hAnsi="Times New Roman" w:cs="Times New Roman"/>
          <w:sz w:val="28"/>
          <w:szCs w:val="28"/>
        </w:rPr>
        <w:t>Il est très intéressant de trouver des méthodes facilement accessibles et non invasives pour différencier diverses sources de saignements gastro-intestinaux</w:t>
      </w:r>
      <w:r w:rsidR="00EA2F80">
        <w:rPr>
          <w:rFonts w:ascii="Times New Roman" w:hAnsi="Times New Roman" w:cs="Times New Roman"/>
          <w:sz w:val="28"/>
          <w:szCs w:val="28"/>
        </w:rPr>
        <w:t xml:space="preserve"> (GI) avant d'effectuer une fibro</w:t>
      </w:r>
      <w:r w:rsidRPr="000D7E3A">
        <w:rPr>
          <w:rFonts w:ascii="Times New Roman" w:hAnsi="Times New Roman" w:cs="Times New Roman"/>
          <w:sz w:val="28"/>
          <w:szCs w:val="28"/>
        </w:rPr>
        <w:t xml:space="preserve">scopie et une coloscopie. </w:t>
      </w:r>
    </w:p>
    <w:p w:rsidR="000D7E3A" w:rsidRDefault="00411467" w:rsidP="000D7E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E3A">
        <w:rPr>
          <w:rFonts w:ascii="Times New Roman" w:hAnsi="Times New Roman" w:cs="Times New Roman"/>
          <w:b/>
          <w:bCs/>
          <w:sz w:val="28"/>
          <w:szCs w:val="28"/>
        </w:rPr>
        <w:t>Objectif :</w:t>
      </w:r>
    </w:p>
    <w:p w:rsidR="00411467" w:rsidRPr="000D7E3A" w:rsidRDefault="00411467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 w:rsidRPr="000D7E3A">
        <w:rPr>
          <w:rFonts w:ascii="Times New Roman" w:hAnsi="Times New Roman" w:cs="Times New Roman"/>
          <w:sz w:val="28"/>
          <w:szCs w:val="28"/>
        </w:rPr>
        <w:t xml:space="preserve">La présente étude a été conçue dans le but d'évaluer les </w:t>
      </w:r>
      <w:r w:rsidR="00EA2F80">
        <w:rPr>
          <w:rFonts w:ascii="Times New Roman" w:hAnsi="Times New Roman" w:cs="Times New Roman"/>
          <w:sz w:val="28"/>
          <w:szCs w:val="28"/>
        </w:rPr>
        <w:t xml:space="preserve">caractéristiques de performance </w:t>
      </w:r>
      <w:r w:rsidRPr="000D7E3A">
        <w:rPr>
          <w:rFonts w:ascii="Times New Roman" w:hAnsi="Times New Roman" w:cs="Times New Roman"/>
          <w:sz w:val="28"/>
          <w:szCs w:val="28"/>
        </w:rPr>
        <w:t>de dépistage du rapport d</w:t>
      </w:r>
      <w:r w:rsidR="000D7E3A">
        <w:rPr>
          <w:rFonts w:ascii="Times New Roman" w:hAnsi="Times New Roman" w:cs="Times New Roman"/>
          <w:sz w:val="28"/>
          <w:szCs w:val="28"/>
        </w:rPr>
        <w:t>e l’urée sanguin</w:t>
      </w:r>
      <w:r w:rsidR="0083548B">
        <w:rPr>
          <w:rFonts w:ascii="Times New Roman" w:hAnsi="Times New Roman" w:cs="Times New Roman"/>
          <w:sz w:val="28"/>
          <w:szCs w:val="28"/>
        </w:rPr>
        <w:t>e</w:t>
      </w:r>
      <w:r w:rsidR="000D7E3A">
        <w:rPr>
          <w:rFonts w:ascii="Times New Roman" w:hAnsi="Times New Roman" w:cs="Times New Roman"/>
          <w:sz w:val="28"/>
          <w:szCs w:val="28"/>
        </w:rPr>
        <w:t xml:space="preserve"> à la créatinine pour prédire l’origine haute ou basse du méléna isolée sans hématémèse</w:t>
      </w:r>
      <w:r w:rsidRPr="000D7E3A">
        <w:rPr>
          <w:rFonts w:ascii="Times New Roman" w:hAnsi="Times New Roman" w:cs="Times New Roman"/>
          <w:sz w:val="28"/>
          <w:szCs w:val="28"/>
        </w:rPr>
        <w:t>.</w:t>
      </w:r>
    </w:p>
    <w:p w:rsidR="002D6FE8" w:rsidRPr="000D7E3A" w:rsidRDefault="000D7E3A" w:rsidP="000D7E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7E3A">
        <w:rPr>
          <w:rFonts w:ascii="Times New Roman" w:hAnsi="Times New Roman" w:cs="Times New Roman"/>
          <w:b/>
          <w:bCs/>
          <w:sz w:val="28"/>
          <w:szCs w:val="28"/>
        </w:rPr>
        <w:t>Méthodes :</w:t>
      </w:r>
    </w:p>
    <w:p w:rsidR="002D6FE8" w:rsidRPr="000D7E3A" w:rsidRDefault="002D6FE8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 w:rsidRPr="000D7E3A">
        <w:rPr>
          <w:rFonts w:ascii="Times New Roman" w:hAnsi="Times New Roman" w:cs="Times New Roman"/>
          <w:sz w:val="28"/>
          <w:szCs w:val="28"/>
        </w:rPr>
        <w:t>Etude prospective réalisée sur des patients présentant des saignements gastro</w:t>
      </w:r>
      <w:r w:rsidR="001B4167">
        <w:rPr>
          <w:rFonts w:ascii="Times New Roman" w:hAnsi="Times New Roman" w:cs="Times New Roman"/>
          <w:sz w:val="28"/>
          <w:szCs w:val="28"/>
        </w:rPr>
        <w:t>-intestinaux aigus hospitalisés</w:t>
      </w:r>
      <w:r w:rsidRPr="000D7E3A">
        <w:rPr>
          <w:rFonts w:ascii="Times New Roman" w:hAnsi="Times New Roman" w:cs="Times New Roman"/>
          <w:sz w:val="28"/>
          <w:szCs w:val="28"/>
        </w:rPr>
        <w:t xml:space="preserve"> a</w:t>
      </w:r>
      <w:r w:rsidR="001B4167">
        <w:rPr>
          <w:rFonts w:ascii="Times New Roman" w:hAnsi="Times New Roman" w:cs="Times New Roman"/>
          <w:sz w:val="28"/>
          <w:szCs w:val="28"/>
        </w:rPr>
        <w:t>u service de gastroentérologie</w:t>
      </w:r>
      <w:r w:rsidR="0083548B" w:rsidRPr="000D7E3A">
        <w:rPr>
          <w:rFonts w:ascii="Times New Roman" w:hAnsi="Times New Roman" w:cs="Times New Roman"/>
          <w:sz w:val="28"/>
          <w:szCs w:val="28"/>
        </w:rPr>
        <w:t>, CHU</w:t>
      </w:r>
      <w:r w:rsidRPr="000D7E3A">
        <w:rPr>
          <w:rFonts w:ascii="Times New Roman" w:hAnsi="Times New Roman" w:cs="Times New Roman"/>
          <w:sz w:val="28"/>
          <w:szCs w:val="28"/>
        </w:rPr>
        <w:t xml:space="preserve"> Mohammed six de </w:t>
      </w:r>
      <w:r w:rsidR="001B4167" w:rsidRPr="000D7E3A">
        <w:rPr>
          <w:rFonts w:ascii="Times New Roman" w:hAnsi="Times New Roman" w:cs="Times New Roman"/>
          <w:sz w:val="28"/>
          <w:szCs w:val="28"/>
        </w:rPr>
        <w:t>Marrakech</w:t>
      </w:r>
      <w:r w:rsidR="001B4167">
        <w:rPr>
          <w:rFonts w:ascii="Times New Roman" w:hAnsi="Times New Roman" w:cs="Times New Roman"/>
          <w:sz w:val="28"/>
          <w:szCs w:val="28"/>
        </w:rPr>
        <w:t xml:space="preserve">, entre </w:t>
      </w:r>
      <w:r w:rsidR="00C96815">
        <w:rPr>
          <w:rFonts w:ascii="Times New Roman" w:hAnsi="Times New Roman" w:cs="Times New Roman"/>
          <w:sz w:val="28"/>
          <w:szCs w:val="28"/>
        </w:rPr>
        <w:t>Janvier 2017</w:t>
      </w:r>
      <w:r w:rsidR="001B4167">
        <w:rPr>
          <w:rFonts w:ascii="Times New Roman" w:hAnsi="Times New Roman" w:cs="Times New Roman"/>
          <w:sz w:val="28"/>
          <w:szCs w:val="28"/>
        </w:rPr>
        <w:t xml:space="preserve"> et d</w:t>
      </w:r>
      <w:r w:rsidR="0067094D">
        <w:rPr>
          <w:rFonts w:ascii="Times New Roman" w:hAnsi="Times New Roman" w:cs="Times New Roman"/>
          <w:sz w:val="28"/>
          <w:szCs w:val="28"/>
        </w:rPr>
        <w:t>écembre 2019</w:t>
      </w:r>
      <w:r w:rsidRPr="000D7E3A">
        <w:rPr>
          <w:rFonts w:ascii="Times New Roman" w:hAnsi="Times New Roman" w:cs="Times New Roman"/>
          <w:sz w:val="28"/>
          <w:szCs w:val="28"/>
        </w:rPr>
        <w:t>.</w:t>
      </w:r>
    </w:p>
    <w:p w:rsidR="00B72014" w:rsidRPr="000D7E3A" w:rsidRDefault="0067094D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Les patients qui ont présenté </w:t>
      </w:r>
      <w:r w:rsidR="00B72014" w:rsidRPr="000D7E3A">
        <w:rPr>
          <w:rFonts w:ascii="Times New Roman" w:hAnsi="Times New Roman" w:cs="Times New Roman"/>
          <w:sz w:val="28"/>
          <w:szCs w:val="28"/>
        </w:rPr>
        <w:t xml:space="preserve">un méléna sans </w:t>
      </w:r>
      <w:r w:rsidRPr="000D7E3A">
        <w:rPr>
          <w:rFonts w:ascii="Times New Roman" w:hAnsi="Times New Roman" w:cs="Times New Roman"/>
          <w:sz w:val="28"/>
          <w:szCs w:val="28"/>
        </w:rPr>
        <w:t>hématémèse</w:t>
      </w:r>
      <w:r w:rsidR="00EA2F80">
        <w:rPr>
          <w:rFonts w:ascii="Times New Roman" w:hAnsi="Times New Roman" w:cs="Times New Roman"/>
          <w:sz w:val="28"/>
          <w:szCs w:val="28"/>
        </w:rPr>
        <w:t xml:space="preserve"> </w:t>
      </w:r>
      <w:r w:rsidR="00B72014" w:rsidRPr="000D7E3A">
        <w:rPr>
          <w:rFonts w:ascii="Times New Roman" w:hAnsi="Times New Roman" w:cs="Times New Roman"/>
          <w:sz w:val="28"/>
          <w:szCs w:val="28"/>
        </w:rPr>
        <w:t>ont été inclus dans l'étude.</w:t>
      </w:r>
    </w:p>
    <w:p w:rsidR="002D6FE8" w:rsidRPr="000D7E3A" w:rsidRDefault="0067094D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rapport Urée</w:t>
      </w:r>
      <w:r w:rsidR="00B72014" w:rsidRPr="000D7E3A">
        <w:rPr>
          <w:rFonts w:ascii="Times New Roman" w:hAnsi="Times New Roman" w:cs="Times New Roman"/>
          <w:sz w:val="28"/>
          <w:szCs w:val="28"/>
        </w:rPr>
        <w:t xml:space="preserve"> / Cr</w:t>
      </w:r>
      <w:r>
        <w:rPr>
          <w:rFonts w:ascii="Times New Roman" w:hAnsi="Times New Roman" w:cs="Times New Roman"/>
          <w:sz w:val="28"/>
          <w:szCs w:val="28"/>
        </w:rPr>
        <w:t>éatinine</w:t>
      </w:r>
      <w:r w:rsidR="00B72014" w:rsidRPr="000D7E3A">
        <w:rPr>
          <w:rFonts w:ascii="Times New Roman" w:hAnsi="Times New Roman" w:cs="Times New Roman"/>
          <w:sz w:val="28"/>
          <w:szCs w:val="28"/>
        </w:rPr>
        <w:t xml:space="preserve"> </w:t>
      </w:r>
      <w:r w:rsidR="0083548B">
        <w:rPr>
          <w:rFonts w:ascii="Times New Roman" w:hAnsi="Times New Roman" w:cs="Times New Roman"/>
          <w:sz w:val="28"/>
          <w:szCs w:val="28"/>
        </w:rPr>
        <w:t xml:space="preserve">plasmatique </w:t>
      </w:r>
      <w:r w:rsidR="00B72014" w:rsidRPr="000D7E3A">
        <w:rPr>
          <w:rFonts w:ascii="Times New Roman" w:hAnsi="Times New Roman" w:cs="Times New Roman"/>
          <w:sz w:val="28"/>
          <w:szCs w:val="28"/>
        </w:rPr>
        <w:t>a été calculé pour tous les patients et sa précision dans la différenciation des saignements gastro-intestinaux supérieurs et inférieurs, confirmée par endoscopie ou coloscopie, a été évaluée.</w:t>
      </w:r>
    </w:p>
    <w:p w:rsidR="000D7E3A" w:rsidRDefault="002D6FE8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 w:rsidRPr="000D7E3A">
        <w:rPr>
          <w:rFonts w:ascii="Times New Roman" w:hAnsi="Times New Roman" w:cs="Times New Roman"/>
          <w:sz w:val="28"/>
          <w:szCs w:val="28"/>
        </w:rPr>
        <w:t>Les patients ayant des antécédents d'insuffisance rénale</w:t>
      </w:r>
      <w:r w:rsidR="00C96815">
        <w:rPr>
          <w:rFonts w:ascii="Times New Roman" w:hAnsi="Times New Roman" w:cs="Times New Roman"/>
          <w:sz w:val="28"/>
          <w:szCs w:val="28"/>
        </w:rPr>
        <w:t xml:space="preserve"> </w:t>
      </w:r>
      <w:r w:rsidR="003B326A">
        <w:rPr>
          <w:rFonts w:ascii="Times New Roman" w:hAnsi="Times New Roman" w:cs="Times New Roman"/>
          <w:sz w:val="28"/>
          <w:szCs w:val="28"/>
        </w:rPr>
        <w:t>confirmée, ceux</w:t>
      </w:r>
      <w:r w:rsidR="0067094D">
        <w:rPr>
          <w:rFonts w:ascii="Times New Roman" w:hAnsi="Times New Roman" w:cs="Times New Roman"/>
          <w:sz w:val="28"/>
          <w:szCs w:val="28"/>
        </w:rPr>
        <w:t xml:space="preserve"> présentant des signes d’hypertension portale</w:t>
      </w:r>
      <w:r w:rsidRPr="000D7E3A">
        <w:rPr>
          <w:rFonts w:ascii="Times New Roman" w:hAnsi="Times New Roman" w:cs="Times New Roman"/>
          <w:sz w:val="28"/>
          <w:szCs w:val="28"/>
        </w:rPr>
        <w:t>, ainsi que les patients présentant des saignements gastro-int</w:t>
      </w:r>
      <w:r w:rsidR="0067094D">
        <w:rPr>
          <w:rFonts w:ascii="Times New Roman" w:hAnsi="Times New Roman" w:cs="Times New Roman"/>
          <w:sz w:val="28"/>
          <w:szCs w:val="28"/>
        </w:rPr>
        <w:t xml:space="preserve">estinaux supérieur et inférieur </w:t>
      </w:r>
      <w:r w:rsidRPr="000D7E3A">
        <w:rPr>
          <w:rFonts w:ascii="Times New Roman" w:hAnsi="Times New Roman" w:cs="Times New Roman"/>
          <w:sz w:val="28"/>
          <w:szCs w:val="28"/>
        </w:rPr>
        <w:t>ont été exclus de l'étude.</w:t>
      </w:r>
    </w:p>
    <w:p w:rsidR="00C3341E" w:rsidRPr="0083548B" w:rsidRDefault="0067094D" w:rsidP="000D7E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548B">
        <w:rPr>
          <w:rFonts w:ascii="Times New Roman" w:hAnsi="Times New Roman" w:cs="Times New Roman"/>
          <w:b/>
          <w:bCs/>
          <w:sz w:val="28"/>
          <w:szCs w:val="28"/>
        </w:rPr>
        <w:t>Résultats :</w:t>
      </w:r>
    </w:p>
    <w:p w:rsidR="00C3341E" w:rsidRPr="000D7E3A" w:rsidRDefault="00C96815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 total de 300</w:t>
      </w:r>
      <w:r w:rsidR="001B4167">
        <w:rPr>
          <w:rFonts w:ascii="Times New Roman" w:hAnsi="Times New Roman" w:cs="Times New Roman"/>
          <w:sz w:val="28"/>
          <w:szCs w:val="28"/>
        </w:rPr>
        <w:t xml:space="preserve"> patients </w:t>
      </w:r>
      <w:proofErr w:type="gramStart"/>
      <w:r w:rsidR="001B4167">
        <w:rPr>
          <w:rFonts w:ascii="Times New Roman" w:hAnsi="Times New Roman" w:cs="Times New Roman"/>
          <w:sz w:val="28"/>
          <w:szCs w:val="28"/>
        </w:rPr>
        <w:t>avaient</w:t>
      </w:r>
      <w:proofErr w:type="gramEnd"/>
      <w:r w:rsidR="001B416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3341E" w:rsidRPr="000D7E3A">
        <w:rPr>
          <w:rFonts w:ascii="Times New Roman" w:hAnsi="Times New Roman" w:cs="Times New Roman"/>
          <w:sz w:val="28"/>
          <w:szCs w:val="28"/>
        </w:rPr>
        <w:t xml:space="preserve">des </w:t>
      </w:r>
      <w:r w:rsidR="0067094D" w:rsidRPr="000D7E3A">
        <w:rPr>
          <w:rFonts w:ascii="Times New Roman" w:hAnsi="Times New Roman" w:cs="Times New Roman"/>
          <w:sz w:val="28"/>
          <w:szCs w:val="28"/>
        </w:rPr>
        <w:t>mélénas</w:t>
      </w:r>
      <w:r w:rsidR="00C3341E" w:rsidRPr="000D7E3A">
        <w:rPr>
          <w:rFonts w:ascii="Times New Roman" w:hAnsi="Times New Roman" w:cs="Times New Roman"/>
          <w:sz w:val="28"/>
          <w:szCs w:val="28"/>
        </w:rPr>
        <w:t xml:space="preserve"> sans </w:t>
      </w:r>
      <w:r w:rsidR="0067094D" w:rsidRPr="000D7E3A">
        <w:rPr>
          <w:rFonts w:ascii="Times New Roman" w:hAnsi="Times New Roman" w:cs="Times New Roman"/>
          <w:sz w:val="28"/>
          <w:szCs w:val="28"/>
        </w:rPr>
        <w:t>hématémèses</w:t>
      </w:r>
      <w:r w:rsidR="00C3341E" w:rsidRPr="000D7E3A">
        <w:rPr>
          <w:rFonts w:ascii="Times New Roman" w:hAnsi="Times New Roman" w:cs="Times New Roman"/>
          <w:sz w:val="28"/>
          <w:szCs w:val="28"/>
        </w:rPr>
        <w:t xml:space="preserve"> avec un âge </w:t>
      </w:r>
      <w:r>
        <w:rPr>
          <w:rFonts w:ascii="Times New Roman" w:hAnsi="Times New Roman" w:cs="Times New Roman"/>
          <w:sz w:val="28"/>
          <w:szCs w:val="28"/>
        </w:rPr>
        <w:t>moyen de 48,49 ± 22</w:t>
      </w:r>
      <w:r w:rsidR="0067094D">
        <w:rPr>
          <w:rFonts w:ascii="Times New Roman" w:hAnsi="Times New Roman" w:cs="Times New Roman"/>
          <w:sz w:val="28"/>
          <w:szCs w:val="28"/>
        </w:rPr>
        <w:t xml:space="preserve"> </w:t>
      </w:r>
      <w:r w:rsidR="0029250E">
        <w:rPr>
          <w:rFonts w:ascii="Times New Roman" w:hAnsi="Times New Roman" w:cs="Times New Roman"/>
          <w:sz w:val="28"/>
          <w:szCs w:val="28"/>
        </w:rPr>
        <w:t xml:space="preserve">et un </w:t>
      </w:r>
      <w:r w:rsidR="00C3341E" w:rsidRPr="000D7E3A">
        <w:rPr>
          <w:rFonts w:ascii="Times New Roman" w:hAnsi="Times New Roman" w:cs="Times New Roman"/>
          <w:sz w:val="28"/>
          <w:szCs w:val="28"/>
        </w:rPr>
        <w:t>sexe ratio de</w:t>
      </w:r>
      <w:r w:rsidR="00524DC0">
        <w:rPr>
          <w:rFonts w:ascii="Times New Roman" w:hAnsi="Times New Roman" w:cs="Times New Roman"/>
          <w:sz w:val="28"/>
          <w:szCs w:val="28"/>
        </w:rPr>
        <w:t xml:space="preserve"> 1.5</w:t>
      </w:r>
      <w:r w:rsidR="00C3341E" w:rsidRPr="000D7E3A">
        <w:rPr>
          <w:rFonts w:ascii="Times New Roman" w:hAnsi="Times New Roman" w:cs="Times New Roman"/>
          <w:sz w:val="28"/>
          <w:szCs w:val="28"/>
        </w:rPr>
        <w:t xml:space="preserve"> </w:t>
      </w:r>
      <w:r w:rsidR="00524DC0">
        <w:rPr>
          <w:rFonts w:ascii="Times New Roman" w:hAnsi="Times New Roman" w:cs="Times New Roman"/>
          <w:sz w:val="28"/>
          <w:szCs w:val="28"/>
        </w:rPr>
        <w:t>(60</w:t>
      </w:r>
      <w:r w:rsidR="00C3341E" w:rsidRPr="000D7E3A">
        <w:rPr>
          <w:rFonts w:ascii="Times New Roman" w:hAnsi="Times New Roman" w:cs="Times New Roman"/>
          <w:sz w:val="28"/>
          <w:szCs w:val="28"/>
        </w:rPr>
        <w:t>% d'hommes). Sur la base des résultats de l'e</w:t>
      </w:r>
      <w:r w:rsidR="00524DC0">
        <w:rPr>
          <w:rFonts w:ascii="Times New Roman" w:hAnsi="Times New Roman" w:cs="Times New Roman"/>
          <w:sz w:val="28"/>
          <w:szCs w:val="28"/>
        </w:rPr>
        <w:t>nd</w:t>
      </w:r>
      <w:r>
        <w:rPr>
          <w:rFonts w:ascii="Times New Roman" w:hAnsi="Times New Roman" w:cs="Times New Roman"/>
          <w:sz w:val="28"/>
          <w:szCs w:val="28"/>
        </w:rPr>
        <w:t>oscopie et de la coloscopie, 140</w:t>
      </w:r>
      <w:r w:rsidR="00524DC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46.6</w:t>
      </w:r>
      <w:r w:rsidR="00C3341E" w:rsidRPr="000D7E3A">
        <w:rPr>
          <w:rFonts w:ascii="Times New Roman" w:hAnsi="Times New Roman" w:cs="Times New Roman"/>
          <w:sz w:val="28"/>
          <w:szCs w:val="28"/>
        </w:rPr>
        <w:t>%) cas de saignement étaient liés au s</w:t>
      </w:r>
      <w:r>
        <w:rPr>
          <w:rFonts w:ascii="Times New Roman" w:hAnsi="Times New Roman" w:cs="Times New Roman"/>
          <w:sz w:val="28"/>
          <w:szCs w:val="28"/>
        </w:rPr>
        <w:t>ystème digestif supérieur et 100 (33</w:t>
      </w:r>
      <w:r w:rsidR="00524D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 w:rsidR="00C3341E" w:rsidRPr="000D7E3A">
        <w:rPr>
          <w:rFonts w:ascii="Times New Roman" w:hAnsi="Times New Roman" w:cs="Times New Roman"/>
          <w:sz w:val="28"/>
          <w:szCs w:val="28"/>
        </w:rPr>
        <w:t>%) cas étaient liés au système digestif inférieur.</w:t>
      </w:r>
    </w:p>
    <w:p w:rsidR="00C3341E" w:rsidRPr="000D7E3A" w:rsidRDefault="00524DC0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Le rapport Urée</w:t>
      </w:r>
      <w:r w:rsidR="00C3341E" w:rsidRPr="000D7E3A">
        <w:rPr>
          <w:rFonts w:ascii="Times New Roman" w:hAnsi="Times New Roman" w:cs="Times New Roman"/>
          <w:sz w:val="28"/>
          <w:szCs w:val="28"/>
        </w:rPr>
        <w:t xml:space="preserve"> / Cr</w:t>
      </w:r>
      <w:r>
        <w:rPr>
          <w:rFonts w:ascii="Times New Roman" w:hAnsi="Times New Roman" w:cs="Times New Roman"/>
          <w:sz w:val="28"/>
          <w:szCs w:val="28"/>
        </w:rPr>
        <w:t>éatinine</w:t>
      </w:r>
      <w:r w:rsidR="00C3341E" w:rsidRPr="000D7E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plasmatique </w:t>
      </w:r>
      <w:r w:rsidR="00C3341E" w:rsidRPr="000D7E3A">
        <w:rPr>
          <w:rFonts w:ascii="Times New Roman" w:hAnsi="Times New Roman" w:cs="Times New Roman"/>
          <w:sz w:val="28"/>
          <w:szCs w:val="28"/>
        </w:rPr>
        <w:t>était significativement plus élevé chez ceux présentant un saignement gastro-intestinal inferieur</w:t>
      </w:r>
      <w:r>
        <w:rPr>
          <w:rFonts w:ascii="Times New Roman" w:hAnsi="Times New Roman" w:cs="Times New Roman"/>
          <w:sz w:val="28"/>
          <w:szCs w:val="28"/>
        </w:rPr>
        <w:t xml:space="preserve"> (7</w:t>
      </w:r>
      <w:r w:rsidR="00C3341E" w:rsidRPr="000D7E3A">
        <w:rPr>
          <w:rFonts w:ascii="Times New Roman" w:hAnsi="Times New Roman" w:cs="Times New Roman"/>
          <w:sz w:val="28"/>
          <w:szCs w:val="28"/>
        </w:rPr>
        <w:t>5,90 ± 15,16 co</w:t>
      </w:r>
      <w:r>
        <w:rPr>
          <w:rFonts w:ascii="Times New Roman" w:hAnsi="Times New Roman" w:cs="Times New Roman"/>
          <w:sz w:val="28"/>
          <w:szCs w:val="28"/>
        </w:rPr>
        <w:t>ntre 38,16 ± 11</w:t>
      </w:r>
      <w:r w:rsidRPr="000D7E3A">
        <w:rPr>
          <w:rFonts w:ascii="Times New Roman" w:hAnsi="Times New Roman" w:cs="Times New Roman"/>
          <w:sz w:val="28"/>
          <w:szCs w:val="28"/>
        </w:rPr>
        <w:t>,77 ;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p = 0,001)</w:t>
      </w:r>
      <w:r w:rsidR="00C3341E" w:rsidRPr="000D7E3A">
        <w:rPr>
          <w:rFonts w:ascii="Times New Roman" w:hAnsi="Times New Roman" w:cs="Times New Roman"/>
          <w:sz w:val="28"/>
          <w:szCs w:val="28"/>
        </w:rPr>
        <w:t>.</w:t>
      </w:r>
    </w:p>
    <w:p w:rsidR="000D7E3A" w:rsidRPr="000D7E3A" w:rsidRDefault="0083548B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Un </w:t>
      </w:r>
      <w:r w:rsidR="00524DC0">
        <w:rPr>
          <w:rFonts w:ascii="Times New Roman" w:hAnsi="Times New Roman" w:cs="Times New Roman"/>
          <w:sz w:val="28"/>
          <w:szCs w:val="28"/>
        </w:rPr>
        <w:t xml:space="preserve">rapport </w:t>
      </w:r>
      <w:r w:rsidR="00524DC0" w:rsidRPr="000D7E3A">
        <w:rPr>
          <w:rFonts w:ascii="Times New Roman" w:hAnsi="Times New Roman" w:cs="Times New Roman"/>
          <w:sz w:val="28"/>
          <w:szCs w:val="28"/>
        </w:rPr>
        <w:t>inférieur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à 50 était </w:t>
      </w:r>
      <w:r w:rsidR="00524DC0" w:rsidRPr="000D7E3A">
        <w:rPr>
          <w:rFonts w:ascii="Times New Roman" w:hAnsi="Times New Roman" w:cs="Times New Roman"/>
          <w:sz w:val="28"/>
          <w:szCs w:val="28"/>
        </w:rPr>
        <w:t>prédicteur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de </w:t>
      </w:r>
      <w:r w:rsidR="00524DC0" w:rsidRPr="000D7E3A">
        <w:rPr>
          <w:rFonts w:ascii="Times New Roman" w:hAnsi="Times New Roman" w:cs="Times New Roman"/>
          <w:sz w:val="28"/>
          <w:szCs w:val="28"/>
        </w:rPr>
        <w:t>l’origine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haute du </w:t>
      </w:r>
      <w:r w:rsidR="003B326A">
        <w:rPr>
          <w:rFonts w:ascii="Times New Roman" w:hAnsi="Times New Roman" w:cs="Times New Roman"/>
          <w:sz w:val="28"/>
          <w:szCs w:val="28"/>
        </w:rPr>
        <w:t xml:space="preserve">méléna </w:t>
      </w:r>
      <w:r>
        <w:rPr>
          <w:rFonts w:ascii="Times New Roman" w:hAnsi="Times New Roman" w:cs="Times New Roman"/>
          <w:sz w:val="28"/>
          <w:szCs w:val="28"/>
        </w:rPr>
        <w:t xml:space="preserve">et </w:t>
      </w:r>
      <w:r w:rsidR="00524DC0" w:rsidRPr="000D7E3A">
        <w:rPr>
          <w:rFonts w:ascii="Times New Roman" w:hAnsi="Times New Roman" w:cs="Times New Roman"/>
          <w:sz w:val="28"/>
          <w:szCs w:val="28"/>
        </w:rPr>
        <w:t>un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rapport </w:t>
      </w:r>
      <w:r w:rsidR="00524DC0" w:rsidRPr="000D7E3A">
        <w:rPr>
          <w:rFonts w:ascii="Times New Roman" w:hAnsi="Times New Roman" w:cs="Times New Roman"/>
          <w:sz w:val="28"/>
          <w:szCs w:val="28"/>
        </w:rPr>
        <w:t>supérieur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à 60 était </w:t>
      </w:r>
      <w:r w:rsidR="00524DC0" w:rsidRPr="000D7E3A">
        <w:rPr>
          <w:rFonts w:ascii="Times New Roman" w:hAnsi="Times New Roman" w:cs="Times New Roman"/>
          <w:sz w:val="28"/>
          <w:szCs w:val="28"/>
        </w:rPr>
        <w:t>prédicteur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de </w:t>
      </w:r>
      <w:r w:rsidR="00524DC0" w:rsidRPr="000D7E3A">
        <w:rPr>
          <w:rFonts w:ascii="Times New Roman" w:hAnsi="Times New Roman" w:cs="Times New Roman"/>
          <w:sz w:val="28"/>
          <w:szCs w:val="28"/>
        </w:rPr>
        <w:t>l’origine</w:t>
      </w:r>
      <w:r w:rsidR="000D7E3A" w:rsidRPr="000D7E3A">
        <w:rPr>
          <w:rFonts w:ascii="Times New Roman" w:hAnsi="Times New Roman" w:cs="Times New Roman"/>
          <w:sz w:val="28"/>
          <w:szCs w:val="28"/>
        </w:rPr>
        <w:t xml:space="preserve"> </w:t>
      </w:r>
      <w:r w:rsidR="003B326A">
        <w:rPr>
          <w:rFonts w:ascii="Times New Roman" w:hAnsi="Times New Roman" w:cs="Times New Roman"/>
          <w:sz w:val="28"/>
          <w:szCs w:val="28"/>
        </w:rPr>
        <w:t>basse dans 90 % des cas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72B5" w:rsidRPr="0083548B" w:rsidRDefault="0083548B" w:rsidP="000D7E3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3548B">
        <w:rPr>
          <w:rFonts w:ascii="Times New Roman" w:hAnsi="Times New Roman" w:cs="Times New Roman"/>
          <w:b/>
          <w:bCs/>
          <w:sz w:val="28"/>
          <w:szCs w:val="28"/>
        </w:rPr>
        <w:t>Conclusion</w:t>
      </w:r>
      <w:r w:rsidR="001D101B" w:rsidRPr="0083548B">
        <w:rPr>
          <w:rFonts w:ascii="Times New Roman" w:hAnsi="Times New Roman" w:cs="Times New Roman"/>
          <w:b/>
          <w:bCs/>
          <w:sz w:val="28"/>
          <w:szCs w:val="28"/>
        </w:rPr>
        <w:t> :</w:t>
      </w:r>
    </w:p>
    <w:p w:rsidR="00901ADB" w:rsidRPr="000D7E3A" w:rsidRDefault="001D101B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 w:rsidRPr="000D7E3A">
        <w:rPr>
          <w:rFonts w:ascii="Times New Roman" w:hAnsi="Times New Roman" w:cs="Times New Roman"/>
          <w:sz w:val="28"/>
          <w:szCs w:val="28"/>
        </w:rPr>
        <w:t xml:space="preserve">Ce rapport simple </w:t>
      </w:r>
      <w:r w:rsidR="0083548B">
        <w:rPr>
          <w:rFonts w:ascii="Times New Roman" w:hAnsi="Times New Roman" w:cs="Times New Roman"/>
          <w:sz w:val="28"/>
          <w:szCs w:val="28"/>
        </w:rPr>
        <w:t>d’utilisation, non invasif</w:t>
      </w:r>
      <w:r w:rsidR="003B326A">
        <w:rPr>
          <w:rFonts w:ascii="Times New Roman" w:hAnsi="Times New Roman" w:cs="Times New Roman"/>
          <w:sz w:val="28"/>
          <w:szCs w:val="28"/>
        </w:rPr>
        <w:t xml:space="preserve"> </w:t>
      </w:r>
      <w:r w:rsidRPr="000D7E3A">
        <w:rPr>
          <w:rFonts w:ascii="Times New Roman" w:hAnsi="Times New Roman" w:cs="Times New Roman"/>
          <w:sz w:val="28"/>
          <w:szCs w:val="28"/>
        </w:rPr>
        <w:t xml:space="preserve">permet d’orienter le clinicien vers l’origine haute ou basse du </w:t>
      </w:r>
      <w:r w:rsidR="0083548B" w:rsidRPr="000D7E3A">
        <w:rPr>
          <w:rFonts w:ascii="Times New Roman" w:hAnsi="Times New Roman" w:cs="Times New Roman"/>
          <w:sz w:val="28"/>
          <w:szCs w:val="28"/>
        </w:rPr>
        <w:t>méléna</w:t>
      </w:r>
      <w:r w:rsidRPr="000D7E3A">
        <w:rPr>
          <w:rFonts w:ascii="Times New Roman" w:hAnsi="Times New Roman" w:cs="Times New Roman"/>
          <w:sz w:val="28"/>
          <w:szCs w:val="28"/>
        </w:rPr>
        <w:t xml:space="preserve"> sans </w:t>
      </w:r>
      <w:r w:rsidR="0083548B" w:rsidRPr="000D7E3A">
        <w:rPr>
          <w:rFonts w:ascii="Times New Roman" w:hAnsi="Times New Roman" w:cs="Times New Roman"/>
          <w:sz w:val="28"/>
          <w:szCs w:val="28"/>
        </w:rPr>
        <w:t>hématémèse</w:t>
      </w:r>
      <w:r w:rsidRPr="000D7E3A">
        <w:rPr>
          <w:rFonts w:ascii="Times New Roman" w:hAnsi="Times New Roman" w:cs="Times New Roman"/>
          <w:sz w:val="28"/>
          <w:szCs w:val="28"/>
        </w:rPr>
        <w:t>.</w:t>
      </w:r>
    </w:p>
    <w:p w:rsidR="006C5E4C" w:rsidRPr="000D7E3A" w:rsidRDefault="0083548B" w:rsidP="000D7E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Mots </w:t>
      </w:r>
      <w:r w:rsidRPr="000D7E3A">
        <w:rPr>
          <w:rFonts w:ascii="Times New Roman" w:hAnsi="Times New Roman" w:cs="Times New Roman"/>
          <w:sz w:val="28"/>
          <w:szCs w:val="28"/>
        </w:rPr>
        <w:t>clés :</w:t>
      </w:r>
      <w:r w:rsidR="006C5E4C" w:rsidRPr="000D7E3A">
        <w:rPr>
          <w:rFonts w:ascii="Times New Roman" w:hAnsi="Times New Roman" w:cs="Times New Roman"/>
          <w:sz w:val="28"/>
          <w:szCs w:val="28"/>
        </w:rPr>
        <w:t xml:space="preserve"> hémorragie ga</w:t>
      </w:r>
      <w:r>
        <w:rPr>
          <w:rFonts w:ascii="Times New Roman" w:hAnsi="Times New Roman" w:cs="Times New Roman"/>
          <w:sz w:val="28"/>
          <w:szCs w:val="28"/>
        </w:rPr>
        <w:t>stro-intestinale</w:t>
      </w:r>
      <w:r w:rsidR="003B326A">
        <w:rPr>
          <w:rFonts w:ascii="Times New Roman" w:hAnsi="Times New Roman" w:cs="Times New Roman"/>
          <w:sz w:val="28"/>
          <w:szCs w:val="28"/>
        </w:rPr>
        <w:t>, méléna, Urée, créatinine.</w:t>
      </w:r>
    </w:p>
    <w:sectPr w:rsidR="006C5E4C" w:rsidRPr="000D7E3A" w:rsidSect="008D155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2B5"/>
    <w:rsid w:val="000D7E3A"/>
    <w:rsid w:val="001B4167"/>
    <w:rsid w:val="001D101B"/>
    <w:rsid w:val="002472B5"/>
    <w:rsid w:val="00292330"/>
    <w:rsid w:val="0029250E"/>
    <w:rsid w:val="002D6FE8"/>
    <w:rsid w:val="003B326A"/>
    <w:rsid w:val="00411467"/>
    <w:rsid w:val="00435D4C"/>
    <w:rsid w:val="00524DC0"/>
    <w:rsid w:val="00642AD2"/>
    <w:rsid w:val="0067094D"/>
    <w:rsid w:val="006C5E4C"/>
    <w:rsid w:val="0070447B"/>
    <w:rsid w:val="0083548B"/>
    <w:rsid w:val="008D1550"/>
    <w:rsid w:val="00901ADB"/>
    <w:rsid w:val="00B72014"/>
    <w:rsid w:val="00C3341E"/>
    <w:rsid w:val="00C96815"/>
    <w:rsid w:val="00DF75D3"/>
    <w:rsid w:val="00EA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18606-64C6-40C3-B4FB-A28722D2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1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</dc:creator>
  <cp:keywords/>
  <dc:description/>
  <cp:lastModifiedBy>khalid</cp:lastModifiedBy>
  <cp:revision>5</cp:revision>
  <dcterms:created xsi:type="dcterms:W3CDTF">2019-12-30T18:59:00Z</dcterms:created>
  <dcterms:modified xsi:type="dcterms:W3CDTF">2020-02-16T20:21:00Z</dcterms:modified>
</cp:coreProperties>
</file>