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A71" w:rsidRPr="00E16A71" w:rsidRDefault="00E16A71" w:rsidP="00E16A71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505050"/>
          <w:sz w:val="36"/>
          <w:szCs w:val="36"/>
        </w:rPr>
      </w:pPr>
      <w:r w:rsidRPr="00E16A71">
        <w:rPr>
          <w:rFonts w:ascii="Georgia" w:eastAsia="Times New Roman" w:hAnsi="Georgia" w:cs="Times New Roman"/>
          <w:b/>
          <w:bCs/>
          <w:color w:val="505050"/>
          <w:sz w:val="36"/>
          <w:szCs w:val="36"/>
        </w:rPr>
        <w:t>Abstract</w:t>
      </w:r>
    </w:p>
    <w:p w:rsidR="00E16A71" w:rsidRPr="00E16A71" w:rsidRDefault="00E16A71" w:rsidP="00E16A71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505050"/>
          <w:sz w:val="27"/>
          <w:szCs w:val="27"/>
        </w:rPr>
      </w:pPr>
      <w:r w:rsidRPr="00E16A71">
        <w:rPr>
          <w:rFonts w:ascii="Georgia" w:eastAsia="Times New Roman" w:hAnsi="Georgia" w:cs="Times New Roman"/>
          <w:b/>
          <w:bCs/>
          <w:color w:val="505050"/>
          <w:sz w:val="27"/>
          <w:szCs w:val="27"/>
        </w:rPr>
        <w:t>Background and study aim</w:t>
      </w:r>
    </w:p>
    <w:p w:rsidR="00E16A71" w:rsidRPr="00E16A71" w:rsidRDefault="00E16A71" w:rsidP="00E16A71">
      <w:pPr>
        <w:spacing w:after="0" w:line="240" w:lineRule="auto"/>
        <w:rPr>
          <w:rFonts w:ascii="Georgia" w:eastAsia="Times New Roman" w:hAnsi="Georgia" w:cs="Times New Roman"/>
          <w:color w:val="2E2E2E"/>
          <w:sz w:val="27"/>
          <w:szCs w:val="27"/>
        </w:rPr>
      </w:pPr>
      <w:r w:rsidRPr="00E16A71">
        <w:rPr>
          <w:rFonts w:ascii="Georgia" w:eastAsia="Times New Roman" w:hAnsi="Georgia" w:cs="Times New Roman"/>
          <w:color w:val="2E2E2E"/>
          <w:sz w:val="27"/>
          <w:szCs w:val="27"/>
        </w:rPr>
        <w:t>The term non-specific </w:t>
      </w:r>
      <w:hyperlink r:id="rId4" w:tooltip="Learn more about Colitis from ScienceDirect's AI-generated Topic Pages" w:history="1">
        <w:r w:rsidRPr="00E16A71">
          <w:rPr>
            <w:rFonts w:ascii="Georgia" w:eastAsia="Times New Roman" w:hAnsi="Georgia" w:cs="Times New Roman"/>
            <w:color w:val="0C7DBB"/>
            <w:sz w:val="27"/>
            <w:szCs w:val="27"/>
          </w:rPr>
          <w:t>colitis</w:t>
        </w:r>
      </w:hyperlink>
      <w:r w:rsidRPr="00E16A71">
        <w:rPr>
          <w:rFonts w:ascii="Georgia" w:eastAsia="Times New Roman" w:hAnsi="Georgia" w:cs="Times New Roman"/>
          <w:color w:val="2E2E2E"/>
          <w:sz w:val="27"/>
          <w:szCs w:val="27"/>
        </w:rPr>
        <w:t> refers to an inflammatory condition of the colon that microscopically lacks the characteristic features of any specific form of colitis and is commonly seen in pathology reports of </w:t>
      </w:r>
      <w:hyperlink r:id="rId5" w:tooltip="Learn more about Colonoscopy from ScienceDirect's AI-generated Topic Pages" w:history="1">
        <w:r w:rsidRPr="00E16A71">
          <w:rPr>
            <w:rFonts w:ascii="Georgia" w:eastAsia="Times New Roman" w:hAnsi="Georgia" w:cs="Times New Roman"/>
            <w:color w:val="0C7DBB"/>
            <w:sz w:val="27"/>
            <w:szCs w:val="27"/>
          </w:rPr>
          <w:t>colonoscopy</w:t>
        </w:r>
      </w:hyperlink>
      <w:r w:rsidRPr="00E16A71">
        <w:rPr>
          <w:rFonts w:ascii="Georgia" w:eastAsia="Times New Roman" w:hAnsi="Georgia" w:cs="Times New Roman"/>
          <w:color w:val="2E2E2E"/>
          <w:sz w:val="27"/>
          <w:szCs w:val="27"/>
        </w:rPr>
        <w:t> biopsies. In fact, it has been questioned whether it is a separate pathological entity or it is merely an intermediate stage in the course of </w:t>
      </w:r>
      <w:hyperlink r:id="rId6" w:tooltip="Learn more about Inflammatory Bowel Disease from ScienceDirect's AI-generated Topic Pages" w:history="1">
        <w:r w:rsidRPr="00E16A71">
          <w:rPr>
            <w:rFonts w:ascii="Georgia" w:eastAsia="Times New Roman" w:hAnsi="Georgia" w:cs="Times New Roman"/>
            <w:color w:val="0C7DBB"/>
            <w:sz w:val="27"/>
            <w:szCs w:val="27"/>
          </w:rPr>
          <w:t>inflammatory bowel disease</w:t>
        </w:r>
      </w:hyperlink>
      <w:r w:rsidRPr="00E16A71">
        <w:rPr>
          <w:rFonts w:ascii="Georgia" w:eastAsia="Times New Roman" w:hAnsi="Georgia" w:cs="Times New Roman"/>
          <w:color w:val="2E2E2E"/>
          <w:sz w:val="27"/>
          <w:szCs w:val="27"/>
        </w:rPr>
        <w:t xml:space="preserve">. This study </w:t>
      </w:r>
      <w:proofErr w:type="gramStart"/>
      <w:r w:rsidRPr="00E16A71">
        <w:rPr>
          <w:rFonts w:ascii="Georgia" w:eastAsia="Times New Roman" w:hAnsi="Georgia" w:cs="Times New Roman"/>
          <w:color w:val="2E2E2E"/>
          <w:sz w:val="27"/>
          <w:szCs w:val="27"/>
        </w:rPr>
        <w:t>was conducted</w:t>
      </w:r>
      <w:proofErr w:type="gramEnd"/>
      <w:r w:rsidRPr="00E16A71">
        <w:rPr>
          <w:rFonts w:ascii="Georgia" w:eastAsia="Times New Roman" w:hAnsi="Georgia" w:cs="Times New Roman"/>
          <w:color w:val="2E2E2E"/>
          <w:sz w:val="27"/>
          <w:szCs w:val="27"/>
        </w:rPr>
        <w:t xml:space="preserve"> to estimate the prevalence of non-specific colitis among patients with colitis and characterize its natural history over a 6 months year period.</w:t>
      </w:r>
    </w:p>
    <w:p w:rsidR="00E16A71" w:rsidRPr="00E16A71" w:rsidRDefault="00E16A71" w:rsidP="00E16A71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505050"/>
          <w:sz w:val="27"/>
          <w:szCs w:val="27"/>
        </w:rPr>
      </w:pPr>
      <w:r w:rsidRPr="00E16A71">
        <w:rPr>
          <w:rFonts w:ascii="Georgia" w:eastAsia="Times New Roman" w:hAnsi="Georgia" w:cs="Times New Roman"/>
          <w:b/>
          <w:bCs/>
          <w:color w:val="505050"/>
          <w:sz w:val="27"/>
          <w:szCs w:val="27"/>
        </w:rPr>
        <w:t>Patients and methods</w:t>
      </w:r>
    </w:p>
    <w:p w:rsidR="00E16A71" w:rsidRPr="00E16A71" w:rsidRDefault="00E16A71" w:rsidP="00E16A71">
      <w:pPr>
        <w:spacing w:after="0" w:line="240" w:lineRule="auto"/>
        <w:rPr>
          <w:rFonts w:ascii="Georgia" w:eastAsia="Times New Roman" w:hAnsi="Georgia" w:cs="Times New Roman"/>
          <w:color w:val="2E2E2E"/>
          <w:sz w:val="27"/>
          <w:szCs w:val="27"/>
        </w:rPr>
      </w:pPr>
      <w:r w:rsidRPr="00E16A71">
        <w:rPr>
          <w:rFonts w:ascii="Georgia" w:eastAsia="Times New Roman" w:hAnsi="Georgia" w:cs="Times New Roman"/>
          <w:color w:val="2E2E2E"/>
          <w:sz w:val="27"/>
          <w:szCs w:val="27"/>
        </w:rPr>
        <w:t xml:space="preserve">Eighty adult patients presented for colonoscopy </w:t>
      </w:r>
      <w:proofErr w:type="gramStart"/>
      <w:r w:rsidRPr="00E16A71">
        <w:rPr>
          <w:rFonts w:ascii="Georgia" w:eastAsia="Times New Roman" w:hAnsi="Georgia" w:cs="Times New Roman"/>
          <w:color w:val="2E2E2E"/>
          <w:sz w:val="27"/>
          <w:szCs w:val="27"/>
        </w:rPr>
        <w:t>were enrolled</w:t>
      </w:r>
      <w:proofErr w:type="gramEnd"/>
      <w:r w:rsidRPr="00E16A71">
        <w:rPr>
          <w:rFonts w:ascii="Georgia" w:eastAsia="Times New Roman" w:hAnsi="Georgia" w:cs="Times New Roman"/>
          <w:color w:val="2E2E2E"/>
          <w:sz w:val="27"/>
          <w:szCs w:val="27"/>
        </w:rPr>
        <w:t>. In the final analysis they were divided into Group A; the non-specific colitis Group and Group B; the inflammatory bowel disease Group. All patients were subjected to: full history taking, full clinical examination, laboratory investigations: which included </w:t>
      </w:r>
      <w:hyperlink r:id="rId7" w:tooltip="Learn more about Feces Analysis from ScienceDirect's AI-generated Topic Pages" w:history="1">
        <w:r w:rsidRPr="00E16A71">
          <w:rPr>
            <w:rFonts w:ascii="Georgia" w:eastAsia="Times New Roman" w:hAnsi="Georgia" w:cs="Times New Roman"/>
            <w:color w:val="0C7DBB"/>
            <w:sz w:val="27"/>
            <w:szCs w:val="27"/>
          </w:rPr>
          <w:t>stool analysis</w:t>
        </w:r>
      </w:hyperlink>
      <w:r w:rsidRPr="00E16A71">
        <w:rPr>
          <w:rFonts w:ascii="Georgia" w:eastAsia="Times New Roman" w:hAnsi="Georgia" w:cs="Times New Roman"/>
          <w:color w:val="2E2E2E"/>
          <w:sz w:val="27"/>
          <w:szCs w:val="27"/>
        </w:rPr>
        <w:t>, CRP, ESR, complete colonoscopy and entire random </w:t>
      </w:r>
      <w:hyperlink r:id="rId8" w:tooltip="Learn more about Colon Biopsy from ScienceDirect's AI-generated Topic Pages" w:history="1">
        <w:r w:rsidRPr="00E16A71">
          <w:rPr>
            <w:rFonts w:ascii="Georgia" w:eastAsia="Times New Roman" w:hAnsi="Georgia" w:cs="Times New Roman"/>
            <w:color w:val="0C7DBB"/>
            <w:sz w:val="27"/>
            <w:szCs w:val="27"/>
          </w:rPr>
          <w:t>colon biopsies</w:t>
        </w:r>
      </w:hyperlink>
      <w:r w:rsidRPr="00E16A71">
        <w:rPr>
          <w:rFonts w:ascii="Georgia" w:eastAsia="Times New Roman" w:hAnsi="Georgia" w:cs="Times New Roman"/>
          <w:color w:val="2E2E2E"/>
          <w:sz w:val="27"/>
          <w:szCs w:val="27"/>
        </w:rPr>
        <w:t> for histopathological examination.</w:t>
      </w:r>
    </w:p>
    <w:p w:rsidR="00E16A71" w:rsidRPr="00E16A71" w:rsidRDefault="00E16A71" w:rsidP="00E16A71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505050"/>
          <w:sz w:val="27"/>
          <w:szCs w:val="27"/>
        </w:rPr>
      </w:pPr>
      <w:r w:rsidRPr="00E16A71">
        <w:rPr>
          <w:rFonts w:ascii="Georgia" w:eastAsia="Times New Roman" w:hAnsi="Georgia" w:cs="Times New Roman"/>
          <w:b/>
          <w:bCs/>
          <w:color w:val="505050"/>
          <w:sz w:val="27"/>
          <w:szCs w:val="27"/>
        </w:rPr>
        <w:t>Results</w:t>
      </w:r>
    </w:p>
    <w:p w:rsidR="00E16A71" w:rsidRPr="00E16A71" w:rsidRDefault="00E16A71" w:rsidP="00E16A71">
      <w:pPr>
        <w:spacing w:after="0" w:line="240" w:lineRule="auto"/>
        <w:rPr>
          <w:rFonts w:ascii="Georgia" w:eastAsia="Times New Roman" w:hAnsi="Georgia" w:cs="Times New Roman"/>
          <w:color w:val="2E2E2E"/>
          <w:sz w:val="27"/>
          <w:szCs w:val="27"/>
        </w:rPr>
      </w:pPr>
      <w:r w:rsidRPr="00E16A71">
        <w:rPr>
          <w:rFonts w:ascii="Georgia" w:eastAsia="Times New Roman" w:hAnsi="Georgia" w:cs="Times New Roman"/>
          <w:color w:val="2E2E2E"/>
          <w:sz w:val="27"/>
          <w:szCs w:val="27"/>
        </w:rPr>
        <w:t xml:space="preserve">Group </w:t>
      </w:r>
      <w:proofErr w:type="gramStart"/>
      <w:r w:rsidRPr="00E16A71">
        <w:rPr>
          <w:rFonts w:ascii="Georgia" w:eastAsia="Times New Roman" w:hAnsi="Georgia" w:cs="Times New Roman"/>
          <w:color w:val="2E2E2E"/>
          <w:sz w:val="27"/>
          <w:szCs w:val="27"/>
        </w:rPr>
        <w:t>A</w:t>
      </w:r>
      <w:proofErr w:type="gramEnd"/>
      <w:r w:rsidRPr="00E16A71">
        <w:rPr>
          <w:rFonts w:ascii="Georgia" w:eastAsia="Times New Roman" w:hAnsi="Georgia" w:cs="Times New Roman"/>
          <w:color w:val="2E2E2E"/>
          <w:sz w:val="27"/>
          <w:szCs w:val="27"/>
        </w:rPr>
        <w:t xml:space="preserve"> included 67 patients (83.75%) while Group B included 13 (16.25%) patients. Patients with IBD had clinical and laboratory features of inflammation significantly higher than patients with non-specific </w:t>
      </w:r>
      <w:proofErr w:type="gramStart"/>
      <w:r w:rsidRPr="00E16A71">
        <w:rPr>
          <w:rFonts w:ascii="Georgia" w:eastAsia="Times New Roman" w:hAnsi="Georgia" w:cs="Times New Roman"/>
          <w:color w:val="2E2E2E"/>
          <w:sz w:val="27"/>
          <w:szCs w:val="27"/>
        </w:rPr>
        <w:t>colitis</w:t>
      </w:r>
      <w:proofErr w:type="gramEnd"/>
      <w:r w:rsidRPr="00E16A71">
        <w:rPr>
          <w:rFonts w:ascii="Georgia" w:eastAsia="Times New Roman" w:hAnsi="Georgia" w:cs="Times New Roman"/>
          <w:color w:val="2E2E2E"/>
          <w:sz w:val="27"/>
          <w:szCs w:val="27"/>
        </w:rPr>
        <w:t>. Six patients (8.95%) of non-specific colitis group developed histologic features of </w:t>
      </w:r>
      <w:hyperlink r:id="rId9" w:tooltip="Learn more about Miconazole from ScienceDirect's AI-generated Topic Pages" w:history="1">
        <w:r w:rsidRPr="00E16A71">
          <w:rPr>
            <w:rFonts w:ascii="Georgia" w:eastAsia="Times New Roman" w:hAnsi="Georgia" w:cs="Times New Roman"/>
            <w:color w:val="0C7DBB"/>
            <w:sz w:val="27"/>
            <w:szCs w:val="27"/>
          </w:rPr>
          <w:t>florid</w:t>
        </w:r>
      </w:hyperlink>
      <w:r w:rsidRPr="00E16A71">
        <w:rPr>
          <w:rFonts w:ascii="Georgia" w:eastAsia="Times New Roman" w:hAnsi="Georgia" w:cs="Times New Roman"/>
          <w:color w:val="2E2E2E"/>
          <w:sz w:val="27"/>
          <w:szCs w:val="27"/>
        </w:rPr>
        <w:t xml:space="preserve"> inflammatory bowel disease after 6 months. There were </w:t>
      </w:r>
      <w:proofErr w:type="gramStart"/>
      <w:r w:rsidRPr="00E16A71">
        <w:rPr>
          <w:rFonts w:ascii="Georgia" w:eastAsia="Times New Roman" w:hAnsi="Georgia" w:cs="Times New Roman"/>
          <w:color w:val="2E2E2E"/>
          <w:sz w:val="27"/>
          <w:szCs w:val="27"/>
        </w:rPr>
        <w:t>no independent</w:t>
      </w:r>
      <w:proofErr w:type="gramEnd"/>
      <w:r w:rsidRPr="00E16A71">
        <w:rPr>
          <w:rFonts w:ascii="Georgia" w:eastAsia="Times New Roman" w:hAnsi="Georgia" w:cs="Times New Roman"/>
          <w:color w:val="2E2E2E"/>
          <w:sz w:val="27"/>
          <w:szCs w:val="27"/>
        </w:rPr>
        <w:t xml:space="preserve"> predictors of this conversion.</w:t>
      </w:r>
    </w:p>
    <w:p w:rsidR="00E16A71" w:rsidRPr="00E16A71" w:rsidRDefault="00E16A71" w:rsidP="00E16A71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505050"/>
          <w:sz w:val="27"/>
          <w:szCs w:val="27"/>
        </w:rPr>
      </w:pPr>
      <w:r w:rsidRPr="00E16A71">
        <w:rPr>
          <w:rFonts w:ascii="Georgia" w:eastAsia="Times New Roman" w:hAnsi="Georgia" w:cs="Times New Roman"/>
          <w:b/>
          <w:bCs/>
          <w:color w:val="505050"/>
          <w:sz w:val="27"/>
          <w:szCs w:val="27"/>
        </w:rPr>
        <w:t>Conclusion</w:t>
      </w:r>
    </w:p>
    <w:p w:rsidR="00E16A71" w:rsidRPr="00E16A71" w:rsidRDefault="00E16A71" w:rsidP="00E16A71">
      <w:pPr>
        <w:spacing w:after="0" w:line="240" w:lineRule="auto"/>
        <w:rPr>
          <w:rFonts w:ascii="Georgia" w:eastAsia="Times New Roman" w:hAnsi="Georgia" w:cs="Times New Roman"/>
          <w:color w:val="2E2E2E"/>
          <w:sz w:val="27"/>
          <w:szCs w:val="27"/>
        </w:rPr>
      </w:pPr>
      <w:r w:rsidRPr="00E16A71">
        <w:rPr>
          <w:rFonts w:ascii="Georgia" w:eastAsia="Times New Roman" w:hAnsi="Georgia" w:cs="Times New Roman"/>
          <w:color w:val="2E2E2E"/>
          <w:sz w:val="27"/>
          <w:szCs w:val="27"/>
        </w:rPr>
        <w:t xml:space="preserve">Among our 80 patients with colonoscopy and biopsy 67 (83.75%) were diagnosed as non-specific colitis and out of them 6 patients (8.95%) were reexamined after 6 months and proved to have </w:t>
      </w:r>
      <w:proofErr w:type="spellStart"/>
      <w:r w:rsidRPr="00E16A71">
        <w:rPr>
          <w:rFonts w:ascii="Georgia" w:eastAsia="Times New Roman" w:hAnsi="Georgia" w:cs="Times New Roman"/>
          <w:color w:val="2E2E2E"/>
          <w:sz w:val="27"/>
          <w:szCs w:val="27"/>
        </w:rPr>
        <w:t>inflammtory</w:t>
      </w:r>
      <w:proofErr w:type="spellEnd"/>
      <w:r w:rsidRPr="00E16A71">
        <w:rPr>
          <w:rFonts w:ascii="Georgia" w:eastAsia="Times New Roman" w:hAnsi="Georgia" w:cs="Times New Roman"/>
          <w:color w:val="2E2E2E"/>
          <w:sz w:val="27"/>
          <w:szCs w:val="27"/>
        </w:rPr>
        <w:t xml:space="preserve"> bowel </w:t>
      </w:r>
      <w:proofErr w:type="spellStart"/>
      <w:r w:rsidRPr="00E16A71">
        <w:rPr>
          <w:rFonts w:ascii="Georgia" w:eastAsia="Times New Roman" w:hAnsi="Georgia" w:cs="Times New Roman"/>
          <w:color w:val="2E2E2E"/>
          <w:sz w:val="27"/>
          <w:szCs w:val="27"/>
        </w:rPr>
        <w:t>disese</w:t>
      </w:r>
      <w:proofErr w:type="spellEnd"/>
      <w:r w:rsidRPr="00E16A71">
        <w:rPr>
          <w:rFonts w:ascii="Georgia" w:eastAsia="Times New Roman" w:hAnsi="Georgia" w:cs="Times New Roman"/>
          <w:color w:val="2E2E2E"/>
          <w:sz w:val="27"/>
          <w:szCs w:val="27"/>
        </w:rPr>
        <w:t xml:space="preserve"> this change was not linked to </w:t>
      </w:r>
      <w:hyperlink r:id="rId10" w:tooltip="Learn more about Predictive Factor from ScienceDirect's AI-generated Topic Pages" w:history="1">
        <w:r w:rsidRPr="00E16A71">
          <w:rPr>
            <w:rFonts w:ascii="Georgia" w:eastAsia="Times New Roman" w:hAnsi="Georgia" w:cs="Times New Roman"/>
            <w:color w:val="0C7DBB"/>
            <w:sz w:val="27"/>
            <w:szCs w:val="27"/>
          </w:rPr>
          <w:t>predictive factors</w:t>
        </w:r>
      </w:hyperlink>
      <w:r w:rsidRPr="00E16A71">
        <w:rPr>
          <w:rFonts w:ascii="Georgia" w:eastAsia="Times New Roman" w:hAnsi="Georgia" w:cs="Times New Roman"/>
          <w:color w:val="2E2E2E"/>
          <w:sz w:val="27"/>
          <w:szCs w:val="27"/>
        </w:rPr>
        <w:t>.</w:t>
      </w:r>
    </w:p>
    <w:p w:rsidR="00575025" w:rsidRDefault="00E16A71">
      <w:bookmarkStart w:id="0" w:name="_GoBack"/>
      <w:bookmarkEnd w:id="0"/>
    </w:p>
    <w:sectPr w:rsidR="005750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A71"/>
    <w:rsid w:val="00114ADA"/>
    <w:rsid w:val="00550847"/>
    <w:rsid w:val="00E1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FFB1B3-FCCF-4C08-9D1C-A799EEE46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16A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16A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16A7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16A7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16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16A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25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7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medicine-and-dentistry/colon-biops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medicine-and-dentistry/feces-analysi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medicine-and-dentistry/inflammatory-bowel-diseas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sciencedirect.com/topics/medicine-and-dentistry/colonoscopy" TargetMode="External"/><Relationship Id="rId10" Type="http://schemas.openxmlformats.org/officeDocument/2006/relationships/hyperlink" Target="https://www.sciencedirect.com/topics/medicine-and-dentistry/predictive-factor" TargetMode="External"/><Relationship Id="rId4" Type="http://schemas.openxmlformats.org/officeDocument/2006/relationships/hyperlink" Target="https://www.sciencedirect.com/topics/medicine-and-dentistry/colitis" TargetMode="External"/><Relationship Id="rId9" Type="http://schemas.openxmlformats.org/officeDocument/2006/relationships/hyperlink" Target="https://www.sciencedirect.com/topics/medicine-and-dentistry/miconaz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2020-05-18T22:28:00Z</dcterms:created>
  <dcterms:modified xsi:type="dcterms:W3CDTF">2020-05-18T22:28:00Z</dcterms:modified>
</cp:coreProperties>
</file>