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F2648C" w14:textId="77777777" w:rsidR="00E9146C" w:rsidRPr="003F5403" w:rsidRDefault="003F5403" w:rsidP="00872591">
      <w:pPr>
        <w:spacing w:line="360" w:lineRule="auto"/>
        <w:rPr>
          <w:rFonts w:ascii="Arial" w:hAnsi="Arial"/>
        </w:rPr>
      </w:pPr>
      <w:r w:rsidRPr="003F5403">
        <w:rPr>
          <w:rFonts w:ascii="Arial" w:hAnsi="Arial"/>
        </w:rPr>
        <w:t xml:space="preserve">Tipo  de artículo: Artículo original. </w:t>
      </w:r>
    </w:p>
    <w:p w14:paraId="5607F166" w14:textId="77777777" w:rsidR="003F5403" w:rsidRPr="003F5403" w:rsidRDefault="003F5403" w:rsidP="00872591">
      <w:pPr>
        <w:spacing w:line="360" w:lineRule="auto"/>
        <w:rPr>
          <w:rFonts w:ascii="Arial" w:hAnsi="Arial"/>
        </w:rPr>
      </w:pPr>
    </w:p>
    <w:p w14:paraId="09C4CC25" w14:textId="77777777" w:rsidR="003F5403" w:rsidRPr="003F5403" w:rsidRDefault="003F5403" w:rsidP="00872591">
      <w:pPr>
        <w:pStyle w:val="Textodecuerpo"/>
        <w:spacing w:line="360" w:lineRule="auto"/>
        <w:jc w:val="left"/>
        <w:rPr>
          <w:szCs w:val="24"/>
        </w:rPr>
      </w:pPr>
      <w:r w:rsidRPr="003F5403">
        <w:rPr>
          <w:szCs w:val="24"/>
        </w:rPr>
        <w:t xml:space="preserve">Título: </w:t>
      </w:r>
    </w:p>
    <w:p w14:paraId="5DD8651B" w14:textId="77777777" w:rsidR="003F5403" w:rsidRPr="003F5403" w:rsidRDefault="003F5403" w:rsidP="00872591">
      <w:pPr>
        <w:pStyle w:val="Textodecuerpo"/>
        <w:spacing w:line="360" w:lineRule="auto"/>
        <w:jc w:val="left"/>
        <w:rPr>
          <w:szCs w:val="24"/>
        </w:rPr>
      </w:pPr>
    </w:p>
    <w:p w14:paraId="51ABA974" w14:textId="77777777" w:rsidR="003F5403" w:rsidRPr="003F5403" w:rsidRDefault="003F5403" w:rsidP="00872591">
      <w:pPr>
        <w:pStyle w:val="Textodecuerpo"/>
        <w:spacing w:line="360" w:lineRule="auto"/>
        <w:jc w:val="left"/>
        <w:rPr>
          <w:rFonts w:cs="Arial"/>
          <w:szCs w:val="24"/>
        </w:rPr>
      </w:pPr>
      <w:r w:rsidRPr="003F5403">
        <w:rPr>
          <w:rFonts w:cs="Arial"/>
          <w:szCs w:val="24"/>
        </w:rPr>
        <w:t>Apego Al cumplimiento de los indicadores de calidad en endoscopia del tracto gastrointestinal superior tras un programa de mejora en el Hospital General Dr. Manuel Gea González.</w:t>
      </w:r>
    </w:p>
    <w:p w14:paraId="4190AF84" w14:textId="77777777" w:rsidR="003F5403" w:rsidRPr="003F5403" w:rsidRDefault="003F5403" w:rsidP="00872591">
      <w:pPr>
        <w:pStyle w:val="Textodecuerpo"/>
        <w:spacing w:line="360" w:lineRule="auto"/>
        <w:jc w:val="left"/>
        <w:rPr>
          <w:rFonts w:cs="Arial"/>
          <w:szCs w:val="24"/>
        </w:rPr>
      </w:pPr>
    </w:p>
    <w:p w14:paraId="66AA35C4" w14:textId="77777777" w:rsidR="003F5403" w:rsidRPr="003F5403" w:rsidRDefault="003F5403" w:rsidP="00872591">
      <w:pPr>
        <w:pStyle w:val="Textodecuerpo"/>
        <w:spacing w:line="360" w:lineRule="auto"/>
        <w:jc w:val="left"/>
        <w:rPr>
          <w:rFonts w:cs="Arial"/>
          <w:szCs w:val="24"/>
        </w:rPr>
      </w:pPr>
      <w:r w:rsidRPr="003F5403">
        <w:rPr>
          <w:rFonts w:cs="Arial"/>
          <w:szCs w:val="24"/>
        </w:rPr>
        <w:t xml:space="preserve">Título corto: </w:t>
      </w:r>
    </w:p>
    <w:p w14:paraId="2ADD7FBD" w14:textId="77777777" w:rsidR="003F5403" w:rsidRPr="003F5403" w:rsidRDefault="003F5403" w:rsidP="00872591">
      <w:pPr>
        <w:pStyle w:val="Textodecuerpo"/>
        <w:spacing w:line="360" w:lineRule="auto"/>
        <w:jc w:val="left"/>
        <w:rPr>
          <w:rFonts w:cs="Arial"/>
          <w:szCs w:val="24"/>
        </w:rPr>
      </w:pPr>
    </w:p>
    <w:p w14:paraId="0E7A3FD8" w14:textId="77777777" w:rsidR="003F5403" w:rsidRPr="003F5403" w:rsidRDefault="003F5403" w:rsidP="00872591">
      <w:pPr>
        <w:pStyle w:val="Textodecuerpo"/>
        <w:spacing w:line="360" w:lineRule="auto"/>
        <w:jc w:val="left"/>
        <w:rPr>
          <w:rFonts w:cs="Arial"/>
          <w:szCs w:val="24"/>
        </w:rPr>
      </w:pPr>
      <w:r w:rsidRPr="003F5403">
        <w:rPr>
          <w:rFonts w:cs="Arial"/>
          <w:szCs w:val="24"/>
        </w:rPr>
        <w:t xml:space="preserve">Cumplimiento de los indicadores de calidad en endoscopia gastrointestinal  superior en el Hospital General Dr. Manuel Gea González. </w:t>
      </w:r>
    </w:p>
    <w:p w14:paraId="02EFEE34" w14:textId="77777777" w:rsidR="003F5403" w:rsidRPr="003F5403" w:rsidRDefault="003F5403" w:rsidP="00872591">
      <w:pPr>
        <w:pStyle w:val="Textodecuerpo"/>
        <w:spacing w:line="360" w:lineRule="auto"/>
        <w:jc w:val="left"/>
        <w:rPr>
          <w:rFonts w:cs="Arial"/>
          <w:szCs w:val="24"/>
        </w:rPr>
      </w:pPr>
    </w:p>
    <w:p w14:paraId="4992053A" w14:textId="77777777" w:rsidR="003F5403" w:rsidRPr="003F5403" w:rsidRDefault="003F5403" w:rsidP="008725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w:hAnsi="Arial" w:cs="Arial"/>
          <w:color w:val="222222"/>
          <w:lang w:val="en"/>
        </w:rPr>
      </w:pPr>
      <w:r w:rsidRPr="003F5403">
        <w:rPr>
          <w:rFonts w:ascii="Arial" w:hAnsi="Arial" w:cs="Arial"/>
          <w:color w:val="222222"/>
          <w:lang w:val="en"/>
        </w:rPr>
        <w:t xml:space="preserve">Tittle: </w:t>
      </w:r>
    </w:p>
    <w:p w14:paraId="01DF4EBA" w14:textId="77777777" w:rsidR="003F5403" w:rsidRPr="003F5403" w:rsidRDefault="003F5403" w:rsidP="008725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w:hAnsi="Arial" w:cs="Arial"/>
          <w:color w:val="222222"/>
          <w:lang w:val="en"/>
        </w:rPr>
      </w:pPr>
    </w:p>
    <w:p w14:paraId="6EDBF914" w14:textId="77777777" w:rsidR="003F5403" w:rsidRPr="003F5403" w:rsidRDefault="003F5403" w:rsidP="008725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w:hAnsi="Arial" w:cs="Arial"/>
          <w:color w:val="222222"/>
        </w:rPr>
      </w:pPr>
      <w:r w:rsidRPr="003F5403">
        <w:rPr>
          <w:rFonts w:ascii="Arial" w:hAnsi="Arial" w:cs="Arial"/>
          <w:color w:val="222222"/>
          <w:lang w:val="en"/>
        </w:rPr>
        <w:t>Attachment to the fulfillment of the quality indicators in endoscopy of the upper gastrointestinal tract after an improvement program at the Dr. Manuel Gea González General Hospital.</w:t>
      </w:r>
    </w:p>
    <w:p w14:paraId="07EF675D" w14:textId="77777777" w:rsidR="003F5403" w:rsidRDefault="003F5403" w:rsidP="00872591">
      <w:pPr>
        <w:pStyle w:val="Textodecuerpo"/>
        <w:spacing w:line="360" w:lineRule="auto"/>
        <w:jc w:val="left"/>
        <w:rPr>
          <w:rFonts w:cs="Arial"/>
          <w:sz w:val="22"/>
          <w:szCs w:val="22"/>
        </w:rPr>
      </w:pPr>
    </w:p>
    <w:p w14:paraId="065CFEFB" w14:textId="77777777" w:rsidR="003F5403" w:rsidRPr="00872591" w:rsidRDefault="003F5403" w:rsidP="00872591">
      <w:pPr>
        <w:pStyle w:val="Textodecuerpo"/>
        <w:spacing w:line="360" w:lineRule="auto"/>
        <w:rPr>
          <w:rFonts w:cs="Arial"/>
          <w:szCs w:val="24"/>
        </w:rPr>
      </w:pPr>
      <w:r w:rsidRPr="00872591">
        <w:rPr>
          <w:rFonts w:cs="Arial"/>
          <w:szCs w:val="24"/>
        </w:rPr>
        <w:t>Resumen</w:t>
      </w:r>
    </w:p>
    <w:p w14:paraId="397F3376" w14:textId="3EE9CC71" w:rsidR="00872591" w:rsidRPr="00872591" w:rsidRDefault="00872591" w:rsidP="00872591">
      <w:pPr>
        <w:pStyle w:val="Textodecuerpo"/>
        <w:spacing w:line="360" w:lineRule="auto"/>
        <w:rPr>
          <w:rFonts w:cs="Arial"/>
          <w:szCs w:val="24"/>
        </w:rPr>
      </w:pPr>
    </w:p>
    <w:p w14:paraId="5FE5F8ED" w14:textId="743E36F9" w:rsidR="00872591" w:rsidRPr="00872591" w:rsidRDefault="00872591" w:rsidP="00872591">
      <w:pPr>
        <w:tabs>
          <w:tab w:val="left" w:pos="645"/>
        </w:tabs>
        <w:spacing w:line="360" w:lineRule="auto"/>
        <w:jc w:val="both"/>
        <w:rPr>
          <w:rFonts w:ascii="Arial" w:hAnsi="Arial" w:cs="Arial"/>
        </w:rPr>
      </w:pPr>
      <w:r w:rsidRPr="00872591">
        <w:rPr>
          <w:rFonts w:ascii="Arial" w:hAnsi="Arial" w:cs="Arial"/>
        </w:rPr>
        <w:t>La endoscopia del tracto superior digestivo, se utiliza para el diagnóstico y tratamiento de trastornos</w:t>
      </w:r>
      <w:r w:rsidRPr="00872591">
        <w:rPr>
          <w:rFonts w:ascii="Arial" w:hAnsi="Arial" w:cs="Arial"/>
        </w:rPr>
        <w:t xml:space="preserve"> digestivos. </w:t>
      </w:r>
      <w:r w:rsidRPr="00872591">
        <w:rPr>
          <w:rFonts w:ascii="Arial" w:hAnsi="Arial" w:cs="Arial"/>
        </w:rPr>
        <w:t>La endoscopia del tracto superior digestivo, se utiliza para el diagnóstico y tratamiento de trastornos</w:t>
      </w:r>
      <w:r w:rsidRPr="00872591">
        <w:rPr>
          <w:rFonts w:ascii="Arial" w:hAnsi="Arial" w:cs="Arial"/>
        </w:rPr>
        <w:t xml:space="preserve">. </w:t>
      </w:r>
      <w:r w:rsidRPr="00872591">
        <w:rPr>
          <w:rFonts w:ascii="Arial" w:hAnsi="Arial" w:cs="Arial"/>
        </w:rPr>
        <w:t>La calidad de la atención sanitaria puede medirse comparando el desempeño de un individuo o grupo con un punto de referencia determinado</w:t>
      </w:r>
      <w:r w:rsidRPr="00872591">
        <w:rPr>
          <w:rFonts w:ascii="Arial" w:hAnsi="Arial" w:cs="Arial"/>
        </w:rPr>
        <w:t xml:space="preserve">. </w:t>
      </w:r>
      <w:r w:rsidRPr="00872591">
        <w:rPr>
          <w:rFonts w:ascii="Arial" w:hAnsi="Arial" w:cs="Arial"/>
        </w:rPr>
        <w:t>Material y Métodos</w:t>
      </w:r>
      <w:r w:rsidRPr="00872591">
        <w:rPr>
          <w:rFonts w:ascii="Arial" w:hAnsi="Arial" w:cs="Arial"/>
        </w:rPr>
        <w:t>: s</w:t>
      </w:r>
      <w:r w:rsidRPr="00872591">
        <w:rPr>
          <w:rFonts w:ascii="Arial" w:hAnsi="Arial" w:cs="Arial"/>
        </w:rPr>
        <w:t xml:space="preserve">e </w:t>
      </w:r>
      <w:r w:rsidRPr="00872591">
        <w:rPr>
          <w:rFonts w:ascii="Arial" w:hAnsi="Arial" w:cs="Arial"/>
        </w:rPr>
        <w:t xml:space="preserve">trata de un </w:t>
      </w:r>
      <w:r w:rsidRPr="00872591">
        <w:rPr>
          <w:rFonts w:ascii="Arial" w:hAnsi="Arial" w:cs="Arial"/>
        </w:rPr>
        <w:t>estudio descriptivo en el que se tuvo como referencia al registro de base de datos del servicio de endoscopia del Hospital General Dr. Manuel Gea González</w:t>
      </w:r>
      <w:r w:rsidRPr="00872591">
        <w:rPr>
          <w:rFonts w:ascii="Arial" w:hAnsi="Arial" w:cs="Arial"/>
        </w:rPr>
        <w:t>. Resultados: s</w:t>
      </w:r>
      <w:r w:rsidRPr="00872591">
        <w:rPr>
          <w:rFonts w:ascii="Arial" w:hAnsi="Arial" w:cs="Arial"/>
        </w:rPr>
        <w:t>e revisaron 300 reportes de endoscopia,  de los cuales 154 eran hombres (51.3%), 146 mujeres (48.7%), con una mediana edad 56 años</w:t>
      </w:r>
      <w:r w:rsidRPr="00872591">
        <w:rPr>
          <w:rFonts w:ascii="Arial" w:hAnsi="Arial" w:cs="Arial"/>
        </w:rPr>
        <w:t>; d</w:t>
      </w:r>
      <w:r w:rsidRPr="00872591">
        <w:rPr>
          <w:rFonts w:ascii="Arial" w:hAnsi="Arial" w:cs="Arial"/>
        </w:rPr>
        <w:t>e los 21 indicadores de endoscopia del tracto gastrointestinal superior que si se pudieron evaluar, se cumplen 13 (65%</w:t>
      </w:r>
      <w:r w:rsidRPr="00872591">
        <w:rPr>
          <w:rFonts w:ascii="Arial" w:hAnsi="Arial" w:cs="Arial"/>
        </w:rPr>
        <w:t xml:space="preserve">); </w:t>
      </w:r>
      <w:r w:rsidRPr="00872591">
        <w:rPr>
          <w:rFonts w:ascii="Arial" w:hAnsi="Arial" w:cs="Arial"/>
        </w:rPr>
        <w:t xml:space="preserve">la Sociedad Americana de Endoscopia Gastrointestinal (ASGE) y el Colegio Americano de Gastroenterología (ACG) publicaron la primera versión de indicadores de </w:t>
      </w:r>
      <w:r w:rsidRPr="00872591">
        <w:rPr>
          <w:rFonts w:ascii="Arial" w:hAnsi="Arial" w:cs="Arial"/>
        </w:rPr>
        <w:lastRenderedPageBreak/>
        <w:t>calidad para Endoscopia superior, siendo actualizada con nuevos datos pertinentes en 2015</w:t>
      </w:r>
      <w:r w:rsidRPr="00872591">
        <w:rPr>
          <w:rFonts w:ascii="Arial" w:hAnsi="Arial" w:cs="Arial"/>
        </w:rPr>
        <w:t xml:space="preserve">, en los cuales se basaron los resultados. Conclusiones: </w:t>
      </w:r>
      <w:r w:rsidRPr="00872591">
        <w:rPr>
          <w:rFonts w:ascii="Arial" w:hAnsi="Arial" w:cs="Arial"/>
        </w:rPr>
        <w:t xml:space="preserve">Consideramos que el haber realizado este estudio, es un </w:t>
      </w:r>
      <w:proofErr w:type="spellStart"/>
      <w:r w:rsidRPr="00872591">
        <w:rPr>
          <w:rFonts w:ascii="Arial" w:hAnsi="Arial" w:cs="Arial"/>
        </w:rPr>
        <w:t>parteaguas</w:t>
      </w:r>
      <w:proofErr w:type="spellEnd"/>
      <w:r w:rsidRPr="00872591">
        <w:rPr>
          <w:rFonts w:ascii="Arial" w:hAnsi="Arial" w:cs="Arial"/>
        </w:rPr>
        <w:t xml:space="preserve"> para conocer nuestras deficiencias en cuanto a la calidad de nuestros procedimientos, evaluar las razones del no cumplimiento de lo</w:t>
      </w:r>
      <w:r w:rsidRPr="00872591">
        <w:rPr>
          <w:rFonts w:ascii="Arial" w:hAnsi="Arial" w:cs="Arial"/>
        </w:rPr>
        <w:t xml:space="preserve">s indicadores y de esta manera </w:t>
      </w:r>
      <w:r w:rsidRPr="00872591">
        <w:rPr>
          <w:rFonts w:ascii="Arial" w:hAnsi="Arial" w:cs="Arial"/>
        </w:rPr>
        <w:t>implementar acciones de mejora, que lleven al cum</w:t>
      </w:r>
      <w:r w:rsidRPr="00872591">
        <w:rPr>
          <w:rFonts w:ascii="Arial" w:hAnsi="Arial" w:cs="Arial"/>
        </w:rPr>
        <w:t>plimiento sugerido por las guías.</w:t>
      </w:r>
    </w:p>
    <w:p w14:paraId="38AE8C65" w14:textId="77777777" w:rsidR="003F5403" w:rsidRDefault="003F5403" w:rsidP="00872591">
      <w:pPr>
        <w:pStyle w:val="Textodecuerpo"/>
        <w:spacing w:line="360" w:lineRule="auto"/>
        <w:rPr>
          <w:rFonts w:cs="Arial"/>
          <w:szCs w:val="24"/>
        </w:rPr>
      </w:pPr>
    </w:p>
    <w:p w14:paraId="11CFD470" w14:textId="77777777" w:rsidR="00872591" w:rsidRPr="00872591" w:rsidRDefault="00872591" w:rsidP="00872591">
      <w:pPr>
        <w:pStyle w:val="Textodecuerpo"/>
        <w:spacing w:line="360" w:lineRule="auto"/>
        <w:rPr>
          <w:rFonts w:cs="Arial"/>
          <w:szCs w:val="24"/>
        </w:rPr>
      </w:pPr>
    </w:p>
    <w:p w14:paraId="1B4CD4C9" w14:textId="77777777" w:rsidR="003F5403" w:rsidRPr="00872591" w:rsidRDefault="003F5403" w:rsidP="00872591">
      <w:pPr>
        <w:pStyle w:val="Textodecuerpo"/>
        <w:spacing w:line="360" w:lineRule="auto"/>
        <w:rPr>
          <w:rFonts w:cs="Arial"/>
          <w:szCs w:val="24"/>
        </w:rPr>
      </w:pPr>
      <w:proofErr w:type="spellStart"/>
      <w:r w:rsidRPr="00872591">
        <w:rPr>
          <w:rFonts w:cs="Arial"/>
          <w:szCs w:val="24"/>
        </w:rPr>
        <w:t>Abstract</w:t>
      </w:r>
      <w:proofErr w:type="spellEnd"/>
    </w:p>
    <w:p w14:paraId="0EAD11F1" w14:textId="77777777" w:rsidR="00872591" w:rsidRPr="00872591" w:rsidRDefault="00872591" w:rsidP="00872591">
      <w:pPr>
        <w:pStyle w:val="Textodecuerpo"/>
        <w:spacing w:line="360" w:lineRule="auto"/>
        <w:rPr>
          <w:rFonts w:cs="Arial"/>
          <w:szCs w:val="24"/>
        </w:rPr>
      </w:pPr>
    </w:p>
    <w:p w14:paraId="7D425D52" w14:textId="70C29796" w:rsidR="00872591" w:rsidRPr="00872591" w:rsidRDefault="00872591" w:rsidP="00872591">
      <w:pPr>
        <w:spacing w:line="360" w:lineRule="auto"/>
        <w:jc w:val="both"/>
        <w:rPr>
          <w:rFonts w:ascii="Times" w:eastAsia="Times New Roman" w:hAnsi="Times" w:cs="Times New Roman"/>
          <w:sz w:val="20"/>
          <w:szCs w:val="20"/>
        </w:rPr>
      </w:pPr>
      <w:r w:rsidRPr="00872591">
        <w:rPr>
          <w:rFonts w:ascii="Arial" w:eastAsia="Times New Roman" w:hAnsi="Arial" w:cs="Arial"/>
        </w:rPr>
        <w:br/>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endoscopy</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upper</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digestive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tract</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is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used</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for</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diagnosis and </w:t>
      </w:r>
      <w:proofErr w:type="spellStart"/>
      <w:r w:rsidRPr="00872591">
        <w:rPr>
          <w:rFonts w:ascii="Arial" w:eastAsia="Times New Roman" w:hAnsi="Arial" w:cs="Arial"/>
          <w:color w:val="222222"/>
          <w:shd w:val="clear" w:color="auto" w:fill="F8F9FA"/>
        </w:rPr>
        <w:t>treatment</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digestive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disorders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endoscopy</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upper</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digestive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tract</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is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used</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for</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diagnosis and </w:t>
      </w:r>
      <w:proofErr w:type="spellStart"/>
      <w:r w:rsidRPr="00872591">
        <w:rPr>
          <w:rFonts w:ascii="Arial" w:eastAsia="Times New Roman" w:hAnsi="Arial" w:cs="Arial"/>
          <w:color w:val="222222"/>
          <w:shd w:val="clear" w:color="auto" w:fill="F8F9FA"/>
        </w:rPr>
        <w:t>treatment</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disorders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quality</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health</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care</w:t>
      </w:r>
      <w:proofErr w:type="spellEnd"/>
      <w:r w:rsidRPr="00872591">
        <w:rPr>
          <w:rFonts w:ascii="Arial" w:eastAsia="Times New Roman" w:hAnsi="Arial" w:cs="Arial"/>
          <w:color w:val="222222"/>
          <w:shd w:val="clear" w:color="auto" w:fill="F8F9FA"/>
        </w:rPr>
        <w:t xml:space="preserve"> can be </w:t>
      </w:r>
      <w:proofErr w:type="spellStart"/>
      <w:r w:rsidRPr="00872591">
        <w:rPr>
          <w:rFonts w:ascii="Arial" w:eastAsia="Times New Roman" w:hAnsi="Arial" w:cs="Arial"/>
          <w:color w:val="222222"/>
          <w:shd w:val="clear" w:color="auto" w:fill="F8F9FA"/>
        </w:rPr>
        <w:t>measured</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by</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comparing</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performance of </w:t>
      </w:r>
      <w:proofErr w:type="spellStart"/>
      <w:r w:rsidRPr="00872591">
        <w:rPr>
          <w:rFonts w:ascii="Arial" w:eastAsia="Times New Roman" w:hAnsi="Arial" w:cs="Arial"/>
          <w:color w:val="222222"/>
          <w:shd w:val="clear" w:color="auto" w:fill="F8F9FA"/>
        </w:rPr>
        <w:t>an</w:t>
      </w:r>
      <w:proofErr w:type="spellEnd"/>
      <w:r w:rsidRPr="00872591">
        <w:rPr>
          <w:rFonts w:ascii="Arial" w:eastAsia="Times New Roman" w:hAnsi="Arial" w:cs="Arial"/>
          <w:color w:val="222222"/>
          <w:shd w:val="clear" w:color="auto" w:fill="F8F9FA"/>
        </w:rPr>
        <w:t xml:space="preserve"> individual </w:t>
      </w:r>
      <w:proofErr w:type="spellStart"/>
      <w:r w:rsidRPr="00872591">
        <w:rPr>
          <w:rFonts w:ascii="Arial" w:eastAsia="Times New Roman" w:hAnsi="Arial" w:cs="Arial"/>
          <w:color w:val="222222"/>
          <w:shd w:val="clear" w:color="auto" w:fill="F8F9FA"/>
        </w:rPr>
        <w:t>or</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group</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with</w:t>
      </w:r>
      <w:proofErr w:type="spellEnd"/>
      <w:r w:rsidRPr="00872591">
        <w:rPr>
          <w:rFonts w:ascii="Arial" w:eastAsia="Times New Roman" w:hAnsi="Arial" w:cs="Arial"/>
          <w:color w:val="222222"/>
          <w:shd w:val="clear" w:color="auto" w:fill="F8F9FA"/>
        </w:rPr>
        <w:t xml:space="preserve"> a </w:t>
      </w:r>
      <w:proofErr w:type="spellStart"/>
      <w:r w:rsidRPr="00872591">
        <w:rPr>
          <w:rFonts w:ascii="Arial" w:eastAsia="Times New Roman" w:hAnsi="Arial" w:cs="Arial"/>
          <w:color w:val="222222"/>
          <w:shd w:val="clear" w:color="auto" w:fill="F8F9FA"/>
        </w:rPr>
        <w:t>given</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benchmark</w:t>
      </w:r>
      <w:proofErr w:type="spellEnd"/>
      <w:r w:rsidRPr="00872591">
        <w:rPr>
          <w:rFonts w:ascii="Arial" w:eastAsia="Times New Roman" w:hAnsi="Arial" w:cs="Arial"/>
          <w:color w:val="222222"/>
          <w:shd w:val="clear" w:color="auto" w:fill="F8F9FA"/>
        </w:rPr>
        <w:t xml:space="preserve">. Material and </w:t>
      </w:r>
      <w:proofErr w:type="spellStart"/>
      <w:r w:rsidRPr="00872591">
        <w:rPr>
          <w:rFonts w:ascii="Arial" w:eastAsia="Times New Roman" w:hAnsi="Arial" w:cs="Arial"/>
          <w:color w:val="222222"/>
          <w:shd w:val="clear" w:color="auto" w:fill="F8F9FA"/>
        </w:rPr>
        <w:t>Methods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this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is</w:t>
      </w:r>
      <w:proofErr w:type="spellEnd"/>
      <w:r w:rsidRPr="00872591">
        <w:rPr>
          <w:rFonts w:ascii="Arial" w:eastAsia="Times New Roman" w:hAnsi="Arial" w:cs="Arial"/>
          <w:color w:val="222222"/>
          <w:shd w:val="clear" w:color="auto" w:fill="F8F9FA"/>
        </w:rPr>
        <w:t xml:space="preserve"> a </w:t>
      </w:r>
      <w:proofErr w:type="spellStart"/>
      <w:r w:rsidRPr="00872591">
        <w:rPr>
          <w:rFonts w:ascii="Arial" w:eastAsia="Times New Roman" w:hAnsi="Arial" w:cs="Arial"/>
          <w:color w:val="222222"/>
          <w:shd w:val="clear" w:color="auto" w:fill="F8F9FA"/>
        </w:rPr>
        <w:t>descriptive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study</w:t>
      </w:r>
      <w:proofErr w:type="spellEnd"/>
      <w:r w:rsidRPr="00872591">
        <w:rPr>
          <w:rFonts w:ascii="Arial" w:eastAsia="Times New Roman" w:hAnsi="Arial" w:cs="Arial"/>
          <w:color w:val="222222"/>
          <w:shd w:val="clear" w:color="auto" w:fill="F8F9FA"/>
        </w:rPr>
        <w:t xml:space="preserve"> in </w:t>
      </w:r>
      <w:proofErr w:type="spellStart"/>
      <w:r w:rsidRPr="00872591">
        <w:rPr>
          <w:rFonts w:ascii="Arial" w:eastAsia="Times New Roman" w:hAnsi="Arial" w:cs="Arial"/>
          <w:color w:val="222222"/>
          <w:shd w:val="clear" w:color="auto" w:fill="F8F9FA"/>
        </w:rPr>
        <w:t>which</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database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registry</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endoscopy</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service</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Dr. Manuel Gea González General Hospital </w:t>
      </w:r>
      <w:proofErr w:type="spellStart"/>
      <w:r w:rsidRPr="00872591">
        <w:rPr>
          <w:rFonts w:ascii="Arial" w:eastAsia="Times New Roman" w:hAnsi="Arial" w:cs="Arial"/>
          <w:color w:val="222222"/>
          <w:shd w:val="clear" w:color="auto" w:fill="F8F9FA"/>
        </w:rPr>
        <w:t>was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taken</w:t>
      </w:r>
      <w:proofErr w:type="spellEnd"/>
      <w:r w:rsidRPr="00872591">
        <w:rPr>
          <w:rFonts w:ascii="Arial" w:eastAsia="Times New Roman" w:hAnsi="Arial" w:cs="Arial"/>
          <w:color w:val="222222"/>
          <w:shd w:val="clear" w:color="auto" w:fill="F8F9FA"/>
        </w:rPr>
        <w:t xml:space="preserve"> as a </w:t>
      </w:r>
      <w:proofErr w:type="spellStart"/>
      <w:r w:rsidRPr="00872591">
        <w:rPr>
          <w:rFonts w:ascii="Arial" w:eastAsia="Times New Roman" w:hAnsi="Arial" w:cs="Arial"/>
          <w:color w:val="222222"/>
          <w:shd w:val="clear" w:color="auto" w:fill="F8F9FA"/>
        </w:rPr>
        <w:t>reference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Results</w:t>
      </w:r>
      <w:proofErr w:type="spellEnd"/>
      <w:r w:rsidRPr="00872591">
        <w:rPr>
          <w:rFonts w:ascii="Arial" w:eastAsia="Times New Roman" w:hAnsi="Arial" w:cs="Arial"/>
          <w:color w:val="222222"/>
          <w:shd w:val="clear" w:color="auto" w:fill="F8F9FA"/>
        </w:rPr>
        <w:t xml:space="preserve">: 300 </w:t>
      </w:r>
      <w:proofErr w:type="spellStart"/>
      <w:r w:rsidRPr="00872591">
        <w:rPr>
          <w:rFonts w:ascii="Arial" w:eastAsia="Times New Roman" w:hAnsi="Arial" w:cs="Arial"/>
          <w:color w:val="222222"/>
          <w:shd w:val="clear" w:color="auto" w:fill="F8F9FA"/>
        </w:rPr>
        <w:t>endoscopy</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reports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were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reviewed</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which</w:t>
      </w:r>
      <w:proofErr w:type="spellEnd"/>
      <w:r w:rsidRPr="00872591">
        <w:rPr>
          <w:rFonts w:ascii="Arial" w:eastAsia="Times New Roman" w:hAnsi="Arial" w:cs="Arial"/>
          <w:color w:val="222222"/>
          <w:shd w:val="clear" w:color="auto" w:fill="F8F9FA"/>
        </w:rPr>
        <w:t xml:space="preserve"> 154 </w:t>
      </w:r>
      <w:proofErr w:type="spellStart"/>
      <w:r w:rsidRPr="00872591">
        <w:rPr>
          <w:rFonts w:ascii="Arial" w:eastAsia="Times New Roman" w:hAnsi="Arial" w:cs="Arial"/>
          <w:color w:val="222222"/>
          <w:shd w:val="clear" w:color="auto" w:fill="F8F9FA"/>
        </w:rPr>
        <w:t>were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men</w:t>
      </w:r>
      <w:proofErr w:type="spellEnd"/>
      <w:r w:rsidRPr="00872591">
        <w:rPr>
          <w:rFonts w:ascii="Arial" w:eastAsia="Times New Roman" w:hAnsi="Arial" w:cs="Arial"/>
          <w:color w:val="222222"/>
          <w:shd w:val="clear" w:color="auto" w:fill="F8F9FA"/>
        </w:rPr>
        <w:t xml:space="preserve"> (51.3%), 146 </w:t>
      </w:r>
      <w:proofErr w:type="spellStart"/>
      <w:r w:rsidRPr="00872591">
        <w:rPr>
          <w:rFonts w:ascii="Arial" w:eastAsia="Times New Roman" w:hAnsi="Arial" w:cs="Arial"/>
          <w:color w:val="222222"/>
          <w:shd w:val="clear" w:color="auto" w:fill="F8F9FA"/>
        </w:rPr>
        <w:t>women</w:t>
      </w:r>
      <w:proofErr w:type="spellEnd"/>
      <w:r w:rsidRPr="00872591">
        <w:rPr>
          <w:rFonts w:ascii="Arial" w:eastAsia="Times New Roman" w:hAnsi="Arial" w:cs="Arial"/>
          <w:color w:val="222222"/>
          <w:shd w:val="clear" w:color="auto" w:fill="F8F9FA"/>
        </w:rPr>
        <w:t xml:space="preserve"> (48.7%), </w:t>
      </w:r>
      <w:proofErr w:type="spellStart"/>
      <w:r w:rsidRPr="00872591">
        <w:rPr>
          <w:rFonts w:ascii="Arial" w:eastAsia="Times New Roman" w:hAnsi="Arial" w:cs="Arial"/>
          <w:color w:val="222222"/>
          <w:shd w:val="clear" w:color="auto" w:fill="F8F9FA"/>
        </w:rPr>
        <w:t>with</w:t>
      </w:r>
      <w:proofErr w:type="spellEnd"/>
      <w:r w:rsidRPr="00872591">
        <w:rPr>
          <w:rFonts w:ascii="Arial" w:eastAsia="Times New Roman" w:hAnsi="Arial" w:cs="Arial"/>
          <w:color w:val="222222"/>
          <w:shd w:val="clear" w:color="auto" w:fill="F8F9FA"/>
        </w:rPr>
        <w:t xml:space="preserve"> a median </w:t>
      </w:r>
      <w:proofErr w:type="spellStart"/>
      <w:r w:rsidRPr="00872591">
        <w:rPr>
          <w:rFonts w:ascii="Arial" w:eastAsia="Times New Roman" w:hAnsi="Arial" w:cs="Arial"/>
          <w:color w:val="222222"/>
          <w:shd w:val="clear" w:color="auto" w:fill="F8F9FA"/>
        </w:rPr>
        <w:t>age</w:t>
      </w:r>
      <w:proofErr w:type="spellEnd"/>
      <w:r w:rsidRPr="00872591">
        <w:rPr>
          <w:rFonts w:ascii="Arial" w:eastAsia="Times New Roman" w:hAnsi="Arial" w:cs="Arial"/>
          <w:color w:val="222222"/>
          <w:shd w:val="clear" w:color="auto" w:fill="F8F9FA"/>
        </w:rPr>
        <w:t xml:space="preserve"> 56 </w:t>
      </w:r>
      <w:proofErr w:type="spellStart"/>
      <w:r w:rsidRPr="00872591">
        <w:rPr>
          <w:rFonts w:ascii="Arial" w:eastAsia="Times New Roman" w:hAnsi="Arial" w:cs="Arial"/>
          <w:color w:val="222222"/>
          <w:shd w:val="clear" w:color="auto" w:fill="F8F9FA"/>
        </w:rPr>
        <w:t>years</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21 </w:t>
      </w:r>
      <w:proofErr w:type="spellStart"/>
      <w:r w:rsidRPr="00872591">
        <w:rPr>
          <w:rFonts w:ascii="Arial" w:eastAsia="Times New Roman" w:hAnsi="Arial" w:cs="Arial"/>
          <w:color w:val="222222"/>
          <w:shd w:val="clear" w:color="auto" w:fill="F8F9FA"/>
        </w:rPr>
        <w:t>indicators</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endoscopy</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upper</w:t>
      </w:r>
      <w:proofErr w:type="spellEnd"/>
      <w:r w:rsidRPr="00872591">
        <w:rPr>
          <w:rFonts w:ascii="Arial" w:eastAsia="Times New Roman" w:hAnsi="Arial" w:cs="Arial"/>
          <w:color w:val="222222"/>
          <w:shd w:val="clear" w:color="auto" w:fill="F8F9FA"/>
        </w:rPr>
        <w:t xml:space="preserve"> gastrointestinal </w:t>
      </w:r>
      <w:proofErr w:type="spellStart"/>
      <w:r w:rsidRPr="00872591">
        <w:rPr>
          <w:rFonts w:ascii="Arial" w:eastAsia="Times New Roman" w:hAnsi="Arial" w:cs="Arial"/>
          <w:color w:val="222222"/>
          <w:shd w:val="clear" w:color="auto" w:fill="F8F9FA"/>
        </w:rPr>
        <w:t>tract</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that</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if</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they</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could</w:t>
      </w:r>
      <w:proofErr w:type="spellEnd"/>
      <w:r w:rsidRPr="00872591">
        <w:rPr>
          <w:rFonts w:ascii="Arial" w:eastAsia="Times New Roman" w:hAnsi="Arial" w:cs="Arial"/>
          <w:color w:val="222222"/>
          <w:shd w:val="clear" w:color="auto" w:fill="F8F9FA"/>
        </w:rPr>
        <w:t xml:space="preserve"> be </w:t>
      </w:r>
      <w:proofErr w:type="spellStart"/>
      <w:r w:rsidRPr="00872591">
        <w:rPr>
          <w:rFonts w:ascii="Arial" w:eastAsia="Times New Roman" w:hAnsi="Arial" w:cs="Arial"/>
          <w:color w:val="222222"/>
          <w:shd w:val="clear" w:color="auto" w:fill="F8F9FA"/>
        </w:rPr>
        <w:t>evaluated</w:t>
      </w:r>
      <w:proofErr w:type="spellEnd"/>
      <w:r w:rsidRPr="00872591">
        <w:rPr>
          <w:rFonts w:ascii="Arial" w:eastAsia="Times New Roman" w:hAnsi="Arial" w:cs="Arial"/>
          <w:color w:val="222222"/>
          <w:shd w:val="clear" w:color="auto" w:fill="F8F9FA"/>
        </w:rPr>
        <w:t xml:space="preserve">, 13 (65%) are </w:t>
      </w:r>
      <w:proofErr w:type="spellStart"/>
      <w:r w:rsidRPr="00872591">
        <w:rPr>
          <w:rFonts w:ascii="Arial" w:eastAsia="Times New Roman" w:hAnsi="Arial" w:cs="Arial"/>
          <w:color w:val="222222"/>
          <w:shd w:val="clear" w:color="auto" w:fill="F8F9FA"/>
        </w:rPr>
        <w:t>met</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American </w:t>
      </w:r>
      <w:proofErr w:type="spellStart"/>
      <w:r w:rsidRPr="00872591">
        <w:rPr>
          <w:rFonts w:ascii="Arial" w:eastAsia="Times New Roman" w:hAnsi="Arial" w:cs="Arial"/>
          <w:color w:val="222222"/>
          <w:shd w:val="clear" w:color="auto" w:fill="F8F9FA"/>
        </w:rPr>
        <w:t>Society</w:t>
      </w:r>
      <w:proofErr w:type="spellEnd"/>
      <w:r w:rsidRPr="00872591">
        <w:rPr>
          <w:rFonts w:ascii="Arial" w:eastAsia="Times New Roman" w:hAnsi="Arial" w:cs="Arial"/>
          <w:color w:val="222222"/>
          <w:shd w:val="clear" w:color="auto" w:fill="F8F9FA"/>
        </w:rPr>
        <w:t xml:space="preserve"> of Gastrointestinal </w:t>
      </w:r>
      <w:proofErr w:type="spellStart"/>
      <w:r w:rsidRPr="00872591">
        <w:rPr>
          <w:rFonts w:ascii="Arial" w:eastAsia="Times New Roman" w:hAnsi="Arial" w:cs="Arial"/>
          <w:color w:val="222222"/>
          <w:shd w:val="clear" w:color="auto" w:fill="F8F9FA"/>
        </w:rPr>
        <w:t>Endoscopy</w:t>
      </w:r>
      <w:proofErr w:type="spellEnd"/>
      <w:r w:rsidRPr="00872591">
        <w:rPr>
          <w:rFonts w:ascii="Arial" w:eastAsia="Times New Roman" w:hAnsi="Arial" w:cs="Arial"/>
          <w:color w:val="222222"/>
          <w:shd w:val="clear" w:color="auto" w:fill="F8F9FA"/>
        </w:rPr>
        <w:t xml:space="preserve"> (ASGE) and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American </w:t>
      </w:r>
      <w:proofErr w:type="spellStart"/>
      <w:r w:rsidRPr="00872591">
        <w:rPr>
          <w:rFonts w:ascii="Arial" w:eastAsia="Times New Roman" w:hAnsi="Arial" w:cs="Arial"/>
          <w:color w:val="222222"/>
          <w:shd w:val="clear" w:color="auto" w:fill="F8F9FA"/>
        </w:rPr>
        <w:t>College</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Gastroenterology</w:t>
      </w:r>
      <w:proofErr w:type="spellEnd"/>
      <w:r w:rsidRPr="00872591">
        <w:rPr>
          <w:rFonts w:ascii="Arial" w:eastAsia="Times New Roman" w:hAnsi="Arial" w:cs="Arial"/>
          <w:color w:val="222222"/>
          <w:shd w:val="clear" w:color="auto" w:fill="F8F9FA"/>
        </w:rPr>
        <w:t xml:space="preserve"> (ACG) </w:t>
      </w:r>
      <w:proofErr w:type="spellStart"/>
      <w:r w:rsidRPr="00872591">
        <w:rPr>
          <w:rFonts w:ascii="Arial" w:eastAsia="Times New Roman" w:hAnsi="Arial" w:cs="Arial"/>
          <w:color w:val="222222"/>
          <w:shd w:val="clear" w:color="auto" w:fill="F8F9FA"/>
        </w:rPr>
        <w:t>published</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first</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version</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quality</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indicators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for</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higher</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Endoscopy</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being</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updated</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with</w:t>
      </w:r>
      <w:proofErr w:type="spellEnd"/>
      <w:r w:rsidRPr="00872591">
        <w:rPr>
          <w:rFonts w:ascii="Arial" w:eastAsia="Times New Roman" w:hAnsi="Arial" w:cs="Arial"/>
          <w:color w:val="222222"/>
          <w:shd w:val="clear" w:color="auto" w:fill="F8F9FA"/>
        </w:rPr>
        <w:t xml:space="preserve"> new </w:t>
      </w:r>
      <w:proofErr w:type="spellStart"/>
      <w:r w:rsidRPr="00872591">
        <w:rPr>
          <w:rFonts w:ascii="Arial" w:eastAsia="Times New Roman" w:hAnsi="Arial" w:cs="Arial"/>
          <w:color w:val="222222"/>
          <w:shd w:val="clear" w:color="auto" w:fill="F8F9FA"/>
        </w:rPr>
        <w:t>relevant</w:t>
      </w:r>
      <w:proofErr w:type="spellEnd"/>
      <w:r w:rsidRPr="00872591">
        <w:rPr>
          <w:rFonts w:ascii="Arial" w:eastAsia="Times New Roman" w:hAnsi="Arial" w:cs="Arial"/>
          <w:color w:val="222222"/>
          <w:shd w:val="clear" w:color="auto" w:fill="F8F9FA"/>
        </w:rPr>
        <w:t xml:space="preserve"> data in 2015, </w:t>
      </w:r>
      <w:proofErr w:type="spellStart"/>
      <w:r w:rsidRPr="00872591">
        <w:rPr>
          <w:rFonts w:ascii="Arial" w:eastAsia="Times New Roman" w:hAnsi="Arial" w:cs="Arial"/>
          <w:color w:val="222222"/>
          <w:shd w:val="clear" w:color="auto" w:fill="F8F9FA"/>
        </w:rPr>
        <w:t>on</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which</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results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were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based</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Conclusions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We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consider</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that</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having</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carried</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out</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this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study</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is</w:t>
      </w:r>
      <w:proofErr w:type="spellEnd"/>
      <w:r w:rsidRPr="00872591">
        <w:rPr>
          <w:rFonts w:ascii="Arial" w:eastAsia="Times New Roman" w:hAnsi="Arial" w:cs="Arial"/>
          <w:color w:val="222222"/>
          <w:shd w:val="clear" w:color="auto" w:fill="F8F9FA"/>
        </w:rPr>
        <w:t xml:space="preserve"> a </w:t>
      </w:r>
      <w:proofErr w:type="spellStart"/>
      <w:r w:rsidRPr="00872591">
        <w:rPr>
          <w:rFonts w:ascii="Arial" w:eastAsia="Times New Roman" w:hAnsi="Arial" w:cs="Arial"/>
          <w:color w:val="222222"/>
          <w:shd w:val="clear" w:color="auto" w:fill="F8F9FA"/>
        </w:rPr>
        <w:t>watershed</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to</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know</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our</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deficiencies</w:t>
      </w:r>
      <w:proofErr w:type="spellEnd"/>
      <w:r w:rsidRPr="00872591">
        <w:rPr>
          <w:rFonts w:ascii="Arial" w:eastAsia="Times New Roman" w:hAnsi="Arial" w:cs="Arial"/>
          <w:color w:val="222222"/>
          <w:shd w:val="clear" w:color="auto" w:fill="F8F9FA"/>
        </w:rPr>
        <w:t xml:space="preserve"> in </w:t>
      </w:r>
      <w:proofErr w:type="spellStart"/>
      <w:r w:rsidRPr="00872591">
        <w:rPr>
          <w:rFonts w:ascii="Arial" w:eastAsia="Times New Roman" w:hAnsi="Arial" w:cs="Arial"/>
          <w:color w:val="222222"/>
          <w:shd w:val="clear" w:color="auto" w:fill="F8F9FA"/>
        </w:rPr>
        <w:t>terms</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quality</w:t>
      </w:r>
      <w:proofErr w:type="spellEnd"/>
      <w:r w:rsidRPr="00872591">
        <w:rPr>
          <w:rFonts w:ascii="Arial" w:eastAsia="Times New Roman" w:hAnsi="Arial" w:cs="Arial"/>
          <w:color w:val="222222"/>
          <w:shd w:val="clear" w:color="auto" w:fill="F8F9FA"/>
        </w:rPr>
        <w:t xml:space="preserve"> of </w:t>
      </w:r>
      <w:proofErr w:type="spellStart"/>
      <w:r w:rsidRPr="00872591">
        <w:rPr>
          <w:rFonts w:ascii="Arial" w:eastAsia="Times New Roman" w:hAnsi="Arial" w:cs="Arial"/>
          <w:color w:val="222222"/>
          <w:shd w:val="clear" w:color="auto" w:fill="F8F9FA"/>
        </w:rPr>
        <w:t>our</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procedures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evaluate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reasons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for</w:t>
      </w:r>
      <w:proofErr w:type="spellEnd"/>
      <w:r w:rsidRPr="00872591">
        <w:rPr>
          <w:rFonts w:ascii="Arial" w:eastAsia="Times New Roman" w:hAnsi="Arial" w:cs="Arial"/>
          <w:color w:val="222222"/>
          <w:shd w:val="clear" w:color="auto" w:fill="F8F9FA"/>
        </w:rPr>
        <w:t xml:space="preserve"> non-</w:t>
      </w:r>
      <w:proofErr w:type="spellStart"/>
      <w:r w:rsidRPr="00872591">
        <w:rPr>
          <w:rFonts w:ascii="Arial" w:eastAsia="Times New Roman" w:hAnsi="Arial" w:cs="Arial"/>
          <w:color w:val="222222"/>
          <w:shd w:val="clear" w:color="auto" w:fill="F8F9FA"/>
        </w:rPr>
        <w:t>compliance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with</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indicators</w:t>
      </w:r>
      <w:proofErr w:type="spellEnd"/>
      <w:r w:rsidRPr="00872591">
        <w:rPr>
          <w:rFonts w:ascii="Arial" w:eastAsia="Times New Roman" w:hAnsi="Arial" w:cs="Arial"/>
          <w:color w:val="222222"/>
          <w:shd w:val="clear" w:color="auto" w:fill="F8F9FA"/>
        </w:rPr>
        <w:t xml:space="preserve"> and </w:t>
      </w:r>
      <w:proofErr w:type="spellStart"/>
      <w:r w:rsidRPr="00872591">
        <w:rPr>
          <w:rFonts w:ascii="Arial" w:eastAsia="Times New Roman" w:hAnsi="Arial" w:cs="Arial"/>
          <w:color w:val="222222"/>
          <w:shd w:val="clear" w:color="auto" w:fill="F8F9FA"/>
        </w:rPr>
        <w:t>thus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implement</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improvement</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actions</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which</w:t>
      </w:r>
      <w:proofErr w:type="spellEnd"/>
      <w:r w:rsidRPr="00872591">
        <w:rPr>
          <w:rFonts w:ascii="Arial" w:eastAsia="Times New Roman" w:hAnsi="Arial" w:cs="Arial"/>
          <w:color w:val="222222"/>
          <w:shd w:val="clear" w:color="auto" w:fill="F8F9FA"/>
        </w:rPr>
        <w:t xml:space="preserve"> lead </w:t>
      </w:r>
      <w:proofErr w:type="spellStart"/>
      <w:r w:rsidRPr="00872591">
        <w:rPr>
          <w:rFonts w:ascii="Arial" w:eastAsia="Times New Roman" w:hAnsi="Arial" w:cs="Arial"/>
          <w:color w:val="222222"/>
          <w:shd w:val="clear" w:color="auto" w:fill="F8F9FA"/>
        </w:rPr>
        <w:t>to</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compliance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suggested</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by</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the</w:t>
      </w:r>
      <w:proofErr w:type="spellEnd"/>
      <w:r w:rsidRPr="00872591">
        <w:rPr>
          <w:rFonts w:ascii="Arial" w:eastAsia="Times New Roman" w:hAnsi="Arial" w:cs="Arial"/>
          <w:color w:val="222222"/>
          <w:shd w:val="clear" w:color="auto" w:fill="F8F9FA"/>
        </w:rPr>
        <w:t xml:space="preserve"> </w:t>
      </w:r>
      <w:proofErr w:type="spellStart"/>
      <w:r w:rsidRPr="00872591">
        <w:rPr>
          <w:rFonts w:ascii="Arial" w:eastAsia="Times New Roman" w:hAnsi="Arial" w:cs="Arial"/>
          <w:color w:val="222222"/>
          <w:shd w:val="clear" w:color="auto" w:fill="F8F9FA"/>
        </w:rPr>
        <w:t>guide</w:t>
      </w:r>
      <w:r>
        <w:rPr>
          <w:rFonts w:ascii="Arial" w:eastAsia="Times New Roman" w:hAnsi="Arial" w:cs="Arial"/>
          <w:color w:val="222222"/>
          <w:shd w:val="clear" w:color="auto" w:fill="F8F9FA"/>
        </w:rPr>
        <w:t>lines</w:t>
      </w:r>
      <w:proofErr w:type="spellEnd"/>
      <w:r w:rsidRPr="00872591">
        <w:rPr>
          <w:rFonts w:ascii="Arial" w:eastAsia="Times New Roman" w:hAnsi="Arial" w:cs="Arial"/>
          <w:color w:val="222222"/>
          <w:sz w:val="42"/>
          <w:szCs w:val="42"/>
          <w:shd w:val="clear" w:color="auto" w:fill="F8F9FA"/>
        </w:rPr>
        <w:t>.</w:t>
      </w:r>
    </w:p>
    <w:p w14:paraId="209608E5" w14:textId="77777777" w:rsidR="00872591" w:rsidRDefault="00872591" w:rsidP="00872591">
      <w:pPr>
        <w:pStyle w:val="Textodecuerpo"/>
        <w:spacing w:line="360" w:lineRule="auto"/>
        <w:jc w:val="left"/>
        <w:rPr>
          <w:rFonts w:cs="Arial"/>
          <w:sz w:val="22"/>
          <w:szCs w:val="22"/>
        </w:rPr>
      </w:pPr>
    </w:p>
    <w:p w14:paraId="6D8BF18B" w14:textId="77777777" w:rsidR="003F5403" w:rsidRDefault="003F5403" w:rsidP="00872591">
      <w:pPr>
        <w:pStyle w:val="Textodecuerpo"/>
        <w:spacing w:line="360" w:lineRule="auto"/>
        <w:jc w:val="left"/>
        <w:rPr>
          <w:rFonts w:cs="Arial"/>
          <w:sz w:val="22"/>
          <w:szCs w:val="22"/>
        </w:rPr>
      </w:pPr>
    </w:p>
    <w:p w14:paraId="2CBE4920" w14:textId="77777777" w:rsidR="003F5403" w:rsidRPr="00FD3AC8" w:rsidRDefault="003F5403" w:rsidP="00872591">
      <w:pPr>
        <w:pStyle w:val="Textodecuerpo"/>
        <w:spacing w:line="360" w:lineRule="auto"/>
        <w:jc w:val="left"/>
        <w:rPr>
          <w:rFonts w:cs="Arial"/>
          <w:szCs w:val="24"/>
        </w:rPr>
      </w:pPr>
    </w:p>
    <w:p w14:paraId="1B080C32" w14:textId="77777777" w:rsidR="00FD3AC8" w:rsidRPr="00FD3AC8" w:rsidRDefault="00FD3AC8" w:rsidP="00872591">
      <w:pPr>
        <w:pStyle w:val="Textodecuerpo"/>
        <w:spacing w:line="360" w:lineRule="auto"/>
        <w:jc w:val="left"/>
        <w:rPr>
          <w:rFonts w:cs="Arial"/>
          <w:szCs w:val="24"/>
        </w:rPr>
      </w:pPr>
      <w:r w:rsidRPr="00FD3AC8">
        <w:rPr>
          <w:rFonts w:cs="Arial"/>
          <w:szCs w:val="24"/>
        </w:rPr>
        <w:t>Introducción.</w:t>
      </w:r>
    </w:p>
    <w:p w14:paraId="1EC89D27" w14:textId="77777777" w:rsidR="00FD3AC8" w:rsidRPr="00FD3AC8" w:rsidRDefault="00FD3AC8" w:rsidP="00872591">
      <w:pPr>
        <w:pStyle w:val="Textodecuerpo"/>
        <w:spacing w:line="360" w:lineRule="auto"/>
        <w:rPr>
          <w:rFonts w:cs="Arial"/>
          <w:szCs w:val="24"/>
        </w:rPr>
      </w:pPr>
    </w:p>
    <w:p w14:paraId="1141A37C" w14:textId="77777777" w:rsidR="00FD3AC8" w:rsidRDefault="00FD3AC8" w:rsidP="00872591">
      <w:pPr>
        <w:spacing w:line="360" w:lineRule="auto"/>
        <w:jc w:val="both"/>
        <w:rPr>
          <w:rFonts w:ascii="Arial" w:hAnsi="Arial" w:cs="Arial"/>
        </w:rPr>
      </w:pPr>
      <w:r w:rsidRPr="00FD3AC8">
        <w:rPr>
          <w:rFonts w:ascii="Arial" w:hAnsi="Arial" w:cs="Arial"/>
        </w:rPr>
        <w:t>La endoscopia del tracto superior digestivo, se utiliza para el diagnóstico y tratamiento de trastornos del esófago, estómago e intestino delgado. Cuando se realiza de manera correcta, se considera un procedimiento seguro y tolerado en la evaluación del tracto gastrointestinal superior (1,2).</w:t>
      </w:r>
    </w:p>
    <w:p w14:paraId="1E297602" w14:textId="77777777" w:rsidR="00FD3AC8" w:rsidRPr="00FD3AC8" w:rsidRDefault="00FD3AC8" w:rsidP="00872591">
      <w:pPr>
        <w:spacing w:line="360" w:lineRule="auto"/>
        <w:jc w:val="both"/>
        <w:rPr>
          <w:rFonts w:ascii="Arial" w:hAnsi="Arial" w:cs="Arial"/>
        </w:rPr>
      </w:pPr>
    </w:p>
    <w:p w14:paraId="37A0F9C7" w14:textId="77777777" w:rsidR="00FD3AC8" w:rsidRDefault="00FD3AC8" w:rsidP="00872591">
      <w:pPr>
        <w:spacing w:line="360" w:lineRule="auto"/>
        <w:jc w:val="both"/>
        <w:rPr>
          <w:rFonts w:ascii="Arial" w:hAnsi="Arial" w:cs="Arial"/>
        </w:rPr>
      </w:pPr>
      <w:r w:rsidRPr="00FD3AC8">
        <w:rPr>
          <w:rFonts w:ascii="Arial" w:hAnsi="Arial" w:cs="Arial"/>
        </w:rPr>
        <w:t>En 2009 en Estados Unidos de América, se estimó que se realizaron 6.9 millones de endoscopias. Entre los años 2000 y 2010 este tipo de procedimiento se incrementó en un 50% (1).</w:t>
      </w:r>
    </w:p>
    <w:p w14:paraId="359B12F9" w14:textId="77777777" w:rsidR="00FD3AC8" w:rsidRPr="00FD3AC8" w:rsidRDefault="00FD3AC8" w:rsidP="00872591">
      <w:pPr>
        <w:spacing w:line="360" w:lineRule="auto"/>
        <w:jc w:val="both"/>
        <w:rPr>
          <w:rFonts w:ascii="Arial" w:hAnsi="Arial" w:cs="Arial"/>
        </w:rPr>
      </w:pPr>
    </w:p>
    <w:p w14:paraId="19339F78" w14:textId="77777777" w:rsidR="00FD3AC8" w:rsidRDefault="00FD3AC8" w:rsidP="00872591">
      <w:pPr>
        <w:spacing w:line="360" w:lineRule="auto"/>
        <w:jc w:val="both"/>
        <w:rPr>
          <w:rFonts w:ascii="Arial" w:hAnsi="Arial" w:cs="Arial"/>
        </w:rPr>
      </w:pPr>
      <w:r w:rsidRPr="00FD3AC8">
        <w:rPr>
          <w:rFonts w:ascii="Arial" w:hAnsi="Arial" w:cs="Arial"/>
        </w:rPr>
        <w:t>La calidad de la atención sanitaria puede medirse comparando el desempeño de un individuo o grupo con un punto de referencia determinado, este punto de referencia o parámetro de comparación se denomina indicador de calidad. Los indicadores de calidad pueden reportarse como la proporción entre la incidencia del rendimiento correcto y la oportunidad de desempeño correcto, o como la proporción de intervenciones que logren un objetivo predefinido.</w:t>
      </w:r>
    </w:p>
    <w:p w14:paraId="6C797D3B" w14:textId="77777777" w:rsidR="00FD3AC8" w:rsidRPr="00FD3AC8" w:rsidRDefault="00FD3AC8" w:rsidP="00872591">
      <w:pPr>
        <w:spacing w:line="360" w:lineRule="auto"/>
        <w:jc w:val="both"/>
        <w:rPr>
          <w:rFonts w:ascii="Arial" w:hAnsi="Arial" w:cs="Arial"/>
        </w:rPr>
      </w:pPr>
    </w:p>
    <w:p w14:paraId="0BC63AF2" w14:textId="77777777" w:rsidR="00FD3AC8" w:rsidRDefault="00FD3AC8" w:rsidP="00872591">
      <w:pPr>
        <w:spacing w:line="360" w:lineRule="auto"/>
        <w:jc w:val="both"/>
        <w:rPr>
          <w:rFonts w:ascii="Arial" w:hAnsi="Arial" w:cs="Arial"/>
        </w:rPr>
      </w:pPr>
      <w:r w:rsidRPr="00FD3AC8">
        <w:rPr>
          <w:rFonts w:ascii="Arial" w:hAnsi="Arial" w:cs="Arial"/>
        </w:rPr>
        <w:t>Los indicadores de calidad pueden dividirse en 3 categorías:</w:t>
      </w:r>
    </w:p>
    <w:p w14:paraId="4ED008CA" w14:textId="77777777" w:rsidR="00FD3AC8" w:rsidRPr="00FD3AC8" w:rsidRDefault="00FD3AC8" w:rsidP="00872591">
      <w:pPr>
        <w:spacing w:line="360" w:lineRule="auto"/>
        <w:jc w:val="both"/>
        <w:rPr>
          <w:rFonts w:ascii="Arial" w:hAnsi="Arial" w:cs="Arial"/>
        </w:rPr>
      </w:pPr>
    </w:p>
    <w:p w14:paraId="1DEE1409" w14:textId="77777777" w:rsidR="00FD3AC8" w:rsidRDefault="00FD3AC8" w:rsidP="00872591">
      <w:pPr>
        <w:pStyle w:val="Prrafodelista"/>
        <w:numPr>
          <w:ilvl w:val="0"/>
          <w:numId w:val="1"/>
        </w:numPr>
        <w:overflowPunct w:val="0"/>
        <w:autoSpaceDE w:val="0"/>
        <w:autoSpaceDN w:val="0"/>
        <w:adjustRightInd w:val="0"/>
        <w:spacing w:after="0" w:line="360" w:lineRule="auto"/>
        <w:jc w:val="both"/>
        <w:textAlignment w:val="baseline"/>
        <w:rPr>
          <w:rFonts w:ascii="Arial" w:hAnsi="Arial" w:cs="Arial"/>
          <w:sz w:val="24"/>
          <w:szCs w:val="24"/>
        </w:rPr>
      </w:pPr>
      <w:r w:rsidRPr="00FD3AC8">
        <w:rPr>
          <w:rFonts w:ascii="Arial" w:hAnsi="Arial" w:cs="Arial"/>
          <w:sz w:val="24"/>
          <w:szCs w:val="24"/>
        </w:rPr>
        <w:t>Medidas estructurales; éstas evalúan las características del ambiente del sistema de salud</w:t>
      </w:r>
      <w:r>
        <w:rPr>
          <w:rFonts w:ascii="Arial" w:hAnsi="Arial" w:cs="Arial"/>
          <w:sz w:val="24"/>
          <w:szCs w:val="24"/>
        </w:rPr>
        <w:t xml:space="preserve">. </w:t>
      </w:r>
    </w:p>
    <w:p w14:paraId="51837143" w14:textId="77777777" w:rsidR="00FD3AC8" w:rsidRPr="00FD3AC8" w:rsidRDefault="00FD3AC8" w:rsidP="00872591">
      <w:pPr>
        <w:pStyle w:val="Prrafodelista"/>
        <w:numPr>
          <w:ilvl w:val="0"/>
          <w:numId w:val="1"/>
        </w:numPr>
        <w:overflowPunct w:val="0"/>
        <w:autoSpaceDE w:val="0"/>
        <w:autoSpaceDN w:val="0"/>
        <w:adjustRightInd w:val="0"/>
        <w:spacing w:after="0" w:line="360" w:lineRule="auto"/>
        <w:jc w:val="both"/>
        <w:textAlignment w:val="baseline"/>
        <w:rPr>
          <w:rFonts w:ascii="Arial" w:hAnsi="Arial" w:cs="Arial"/>
          <w:sz w:val="24"/>
          <w:szCs w:val="24"/>
        </w:rPr>
      </w:pPr>
      <w:r w:rsidRPr="00FD3AC8">
        <w:rPr>
          <w:rFonts w:ascii="Arial" w:hAnsi="Arial" w:cs="Arial"/>
          <w:sz w:val="24"/>
          <w:szCs w:val="24"/>
        </w:rPr>
        <w:t>Medidas de proceso; medidas que evalúan el desempeño de la atención.</w:t>
      </w:r>
    </w:p>
    <w:p w14:paraId="3A9D08EF" w14:textId="77777777" w:rsidR="00FD3AC8" w:rsidRPr="00FD3AC8" w:rsidRDefault="00FD3AC8" w:rsidP="00872591">
      <w:pPr>
        <w:pStyle w:val="Prrafodelista"/>
        <w:numPr>
          <w:ilvl w:val="0"/>
          <w:numId w:val="1"/>
        </w:numPr>
        <w:overflowPunct w:val="0"/>
        <w:autoSpaceDE w:val="0"/>
        <w:autoSpaceDN w:val="0"/>
        <w:adjustRightInd w:val="0"/>
        <w:spacing w:after="0" w:line="360" w:lineRule="auto"/>
        <w:jc w:val="both"/>
        <w:textAlignment w:val="baseline"/>
        <w:rPr>
          <w:rFonts w:ascii="Arial" w:hAnsi="Arial" w:cs="Arial"/>
          <w:sz w:val="24"/>
          <w:szCs w:val="24"/>
        </w:rPr>
      </w:pPr>
      <w:r w:rsidRPr="00FD3AC8">
        <w:rPr>
          <w:rFonts w:ascii="Arial" w:hAnsi="Arial" w:cs="Arial"/>
          <w:sz w:val="24"/>
          <w:szCs w:val="24"/>
        </w:rPr>
        <w:t>Medidas de resultado; medidas que eval</w:t>
      </w:r>
      <w:r>
        <w:rPr>
          <w:rFonts w:ascii="Arial" w:hAnsi="Arial" w:cs="Arial"/>
          <w:sz w:val="24"/>
          <w:szCs w:val="24"/>
        </w:rPr>
        <w:t>úan la atención que se ofreció.</w:t>
      </w:r>
    </w:p>
    <w:p w14:paraId="356C7A63" w14:textId="77777777" w:rsidR="00FD3AC8" w:rsidRPr="00FD3AC8" w:rsidRDefault="00FD3AC8" w:rsidP="00872591">
      <w:pPr>
        <w:spacing w:line="360" w:lineRule="auto"/>
        <w:jc w:val="both"/>
        <w:rPr>
          <w:rFonts w:ascii="Arial" w:hAnsi="Arial" w:cs="Arial"/>
        </w:rPr>
      </w:pPr>
      <w:r w:rsidRPr="00FD3AC8">
        <w:rPr>
          <w:rFonts w:ascii="Arial" w:hAnsi="Arial" w:cs="Arial"/>
        </w:rPr>
        <w:t xml:space="preserve">El objetivo de nuestro estudio es </w:t>
      </w:r>
      <w:r>
        <w:rPr>
          <w:rFonts w:ascii="Arial" w:hAnsi="Arial" w:cs="Arial"/>
        </w:rPr>
        <w:t>c</w:t>
      </w:r>
      <w:r w:rsidRPr="00FD3AC8">
        <w:rPr>
          <w:rFonts w:ascii="Arial" w:hAnsi="Arial" w:cs="Arial"/>
        </w:rPr>
        <w:t>onocer  el apego al cumplimiento de los indicadores de calidad en las endoscopias del tracto gastrointestinal supe</w:t>
      </w:r>
      <w:r w:rsidR="003579EB">
        <w:rPr>
          <w:rFonts w:ascii="Arial" w:hAnsi="Arial" w:cs="Arial"/>
        </w:rPr>
        <w:t>rior tras un programa de mejora en el servicio de endoscopia del Hospital General Dr. Manuel Gea González.</w:t>
      </w:r>
    </w:p>
    <w:p w14:paraId="1D9FFF55" w14:textId="77777777" w:rsidR="00FD3AC8" w:rsidRPr="00FD3AC8" w:rsidRDefault="00FD3AC8" w:rsidP="00872591">
      <w:pPr>
        <w:spacing w:line="360" w:lineRule="auto"/>
        <w:jc w:val="both"/>
        <w:rPr>
          <w:rFonts w:ascii="Arial" w:hAnsi="Arial" w:cs="Arial"/>
        </w:rPr>
      </w:pPr>
    </w:p>
    <w:p w14:paraId="1E1331C7" w14:textId="77777777" w:rsidR="00793DE2" w:rsidRDefault="00793DE2" w:rsidP="00872591">
      <w:pPr>
        <w:spacing w:line="360" w:lineRule="auto"/>
        <w:jc w:val="both"/>
        <w:rPr>
          <w:rFonts w:ascii="Arial" w:hAnsi="Arial" w:cs="Arial"/>
        </w:rPr>
      </w:pPr>
    </w:p>
    <w:p w14:paraId="61696739" w14:textId="77777777" w:rsidR="00793DE2" w:rsidRDefault="00793DE2" w:rsidP="00872591">
      <w:pPr>
        <w:spacing w:line="360" w:lineRule="auto"/>
        <w:jc w:val="both"/>
        <w:rPr>
          <w:rFonts w:ascii="Arial" w:hAnsi="Arial" w:cs="Arial"/>
        </w:rPr>
      </w:pPr>
      <w:r>
        <w:rPr>
          <w:rFonts w:ascii="Arial" w:hAnsi="Arial" w:cs="Arial"/>
        </w:rPr>
        <w:t>Material y</w:t>
      </w:r>
      <w:r w:rsidRPr="00793DE2">
        <w:rPr>
          <w:rFonts w:ascii="Arial" w:hAnsi="Arial" w:cs="Arial"/>
        </w:rPr>
        <w:t xml:space="preserve"> Métodos</w:t>
      </w:r>
      <w:r>
        <w:rPr>
          <w:rFonts w:ascii="Arial" w:hAnsi="Arial" w:cs="Arial"/>
        </w:rPr>
        <w:t>.</w:t>
      </w:r>
    </w:p>
    <w:p w14:paraId="23A9DDEF" w14:textId="77777777" w:rsidR="00793DE2" w:rsidRDefault="00793DE2" w:rsidP="00872591">
      <w:pPr>
        <w:spacing w:line="360" w:lineRule="auto"/>
        <w:jc w:val="both"/>
        <w:rPr>
          <w:rFonts w:ascii="Arial" w:hAnsi="Arial" w:cs="Arial"/>
        </w:rPr>
      </w:pPr>
    </w:p>
    <w:p w14:paraId="46B3E6B3" w14:textId="77777777" w:rsidR="00793DE2" w:rsidRDefault="00793DE2" w:rsidP="00872591">
      <w:pPr>
        <w:spacing w:line="360" w:lineRule="auto"/>
        <w:jc w:val="both"/>
        <w:rPr>
          <w:rFonts w:ascii="Arial" w:hAnsi="Arial" w:cs="Arial"/>
        </w:rPr>
      </w:pPr>
      <w:r>
        <w:rPr>
          <w:rFonts w:ascii="Arial" w:hAnsi="Arial" w:cs="Arial"/>
        </w:rPr>
        <w:t xml:space="preserve">Se </w:t>
      </w:r>
      <w:r w:rsidR="00F14F21">
        <w:rPr>
          <w:rFonts w:ascii="Arial" w:hAnsi="Arial" w:cs="Arial"/>
        </w:rPr>
        <w:t xml:space="preserve">realizó el estudio </w:t>
      </w:r>
      <w:r w:rsidR="00683F33">
        <w:rPr>
          <w:rFonts w:ascii="Arial" w:hAnsi="Arial" w:cs="Arial"/>
        </w:rPr>
        <w:t xml:space="preserve">descriptivo en el que se tuvo como referencia </w:t>
      </w:r>
      <w:r w:rsidR="00F14F21">
        <w:rPr>
          <w:rFonts w:ascii="Arial" w:hAnsi="Arial" w:cs="Arial"/>
        </w:rPr>
        <w:t>al r</w:t>
      </w:r>
      <w:r w:rsidRPr="00F14F21">
        <w:rPr>
          <w:rFonts w:ascii="Arial" w:hAnsi="Arial" w:cs="Arial"/>
        </w:rPr>
        <w:t>egistro de base de datos del servicio de endoscopia del Hospital Gene</w:t>
      </w:r>
      <w:r w:rsidR="00F14F21">
        <w:rPr>
          <w:rFonts w:ascii="Arial" w:hAnsi="Arial" w:cs="Arial"/>
        </w:rPr>
        <w:t>ral Dr. Manuel Gea González, teniendo como población de estudio los r</w:t>
      </w:r>
      <w:r w:rsidRPr="00F14F21">
        <w:rPr>
          <w:rFonts w:ascii="Arial" w:hAnsi="Arial" w:cs="Arial"/>
        </w:rPr>
        <w:t>eportes de endoscopia completos del tracto gastrointestinal superior durante el periodo de 1 enero 2018 – 30 marzo 2018.</w:t>
      </w:r>
    </w:p>
    <w:p w14:paraId="7EA648CD" w14:textId="77777777" w:rsidR="00793DE2" w:rsidRPr="00DB1E52" w:rsidRDefault="00793DE2" w:rsidP="00872591">
      <w:pPr>
        <w:spacing w:line="360" w:lineRule="auto"/>
        <w:jc w:val="both"/>
        <w:rPr>
          <w:rFonts w:ascii="Arial" w:hAnsi="Arial" w:cs="Arial"/>
        </w:rPr>
      </w:pPr>
    </w:p>
    <w:p w14:paraId="4C43D044" w14:textId="77777777" w:rsidR="00F14F21" w:rsidRPr="00DB1E52" w:rsidRDefault="00F14F21" w:rsidP="00872591">
      <w:pPr>
        <w:spacing w:line="360" w:lineRule="auto"/>
        <w:jc w:val="both"/>
        <w:rPr>
          <w:rFonts w:ascii="Arial" w:hAnsi="Arial" w:cs="Arial"/>
        </w:rPr>
      </w:pPr>
      <w:r w:rsidRPr="00DB1E52">
        <w:rPr>
          <w:rFonts w:ascii="Arial" w:hAnsi="Arial" w:cs="Arial"/>
        </w:rPr>
        <w:t>Previo al inicio de la investigación se revisaran los indicadores de calidad de endoscopia de tracto gastrointestinal superior, de acuerdo a las guías de la Asociación Americana de Endoscopia Gastrointestinal (última actualización 2015). Haciendo énfasis en su aplicación en nuestro servicio.</w:t>
      </w:r>
    </w:p>
    <w:p w14:paraId="60999AD7" w14:textId="77777777" w:rsidR="00F14F21" w:rsidRPr="00DB1E52" w:rsidRDefault="00F14F21" w:rsidP="00872591">
      <w:pPr>
        <w:spacing w:line="360" w:lineRule="auto"/>
        <w:jc w:val="both"/>
        <w:rPr>
          <w:rFonts w:ascii="Arial" w:hAnsi="Arial" w:cs="Arial"/>
        </w:rPr>
      </w:pPr>
    </w:p>
    <w:p w14:paraId="7FD617A6" w14:textId="77777777" w:rsidR="00F14F21" w:rsidRPr="00DB1E52" w:rsidRDefault="00F14F21" w:rsidP="00872591">
      <w:pPr>
        <w:tabs>
          <w:tab w:val="left" w:pos="645"/>
        </w:tabs>
        <w:spacing w:line="360" w:lineRule="auto"/>
        <w:jc w:val="both"/>
        <w:rPr>
          <w:rFonts w:ascii="Arial" w:hAnsi="Arial" w:cs="Arial"/>
        </w:rPr>
      </w:pPr>
      <w:r w:rsidRPr="00DB1E52">
        <w:rPr>
          <w:rFonts w:ascii="Arial" w:hAnsi="Arial" w:cs="Arial"/>
        </w:rPr>
        <w:t xml:space="preserve">La base de datos del servicio se realiza semanalmente, introduciendo los datos de cada paciente, el resultado del estudio, junto con los indicadores de calidad a tomar en cuenta para endoscopia del tracto gastrointestinal superior.  </w:t>
      </w:r>
      <w:r w:rsidRPr="00DB1E52">
        <w:rPr>
          <w:rFonts w:ascii="Arial" w:hAnsi="Arial" w:cs="Arial"/>
          <w:bCs/>
        </w:rPr>
        <w:t>Se utilizará e</w:t>
      </w:r>
      <w:r w:rsidRPr="00DB1E52">
        <w:rPr>
          <w:rFonts w:ascii="Arial" w:hAnsi="Arial" w:cs="Arial"/>
        </w:rPr>
        <w:t>stadística descriptiva: proporciones o porcentajes según la escala de la variable.</w:t>
      </w:r>
    </w:p>
    <w:p w14:paraId="53562A93" w14:textId="77777777" w:rsidR="00F14F21" w:rsidRPr="00DC6A49" w:rsidRDefault="00F14F21" w:rsidP="00872591">
      <w:pPr>
        <w:tabs>
          <w:tab w:val="left" w:pos="645"/>
        </w:tabs>
        <w:spacing w:line="360" w:lineRule="auto"/>
        <w:jc w:val="both"/>
        <w:rPr>
          <w:rFonts w:ascii="Cambria" w:hAnsi="Cambria"/>
          <w:b/>
        </w:rPr>
      </w:pPr>
    </w:p>
    <w:p w14:paraId="2BAC1934" w14:textId="77777777" w:rsidR="00F14F21" w:rsidRPr="00F14F21" w:rsidRDefault="00F14F21" w:rsidP="00872591">
      <w:pPr>
        <w:spacing w:line="360" w:lineRule="auto"/>
        <w:jc w:val="both"/>
        <w:rPr>
          <w:rFonts w:ascii="Arial" w:hAnsi="Arial" w:cs="Arial"/>
        </w:rPr>
      </w:pPr>
      <w:r w:rsidRPr="00F14F21">
        <w:rPr>
          <w:rFonts w:ascii="Arial" w:hAnsi="Arial" w:cs="Arial"/>
        </w:rPr>
        <w:t xml:space="preserve">RESULTADOS: </w:t>
      </w:r>
    </w:p>
    <w:p w14:paraId="044FA487" w14:textId="77777777" w:rsidR="00F14F21" w:rsidRPr="00F14F21" w:rsidRDefault="00F14F21" w:rsidP="00872591">
      <w:pPr>
        <w:spacing w:line="360" w:lineRule="auto"/>
        <w:jc w:val="both"/>
        <w:rPr>
          <w:rFonts w:ascii="Arial" w:hAnsi="Arial" w:cs="Arial"/>
        </w:rPr>
      </w:pPr>
    </w:p>
    <w:p w14:paraId="7E679133" w14:textId="77777777" w:rsidR="00F14F21" w:rsidRDefault="00F14F21" w:rsidP="00872591">
      <w:pPr>
        <w:spacing w:line="360" w:lineRule="auto"/>
        <w:jc w:val="both"/>
        <w:rPr>
          <w:rFonts w:ascii="Arial" w:hAnsi="Arial" w:cs="Arial"/>
        </w:rPr>
      </w:pPr>
      <w:r w:rsidRPr="00F14F21">
        <w:rPr>
          <w:rFonts w:ascii="Arial" w:hAnsi="Arial" w:cs="Arial"/>
        </w:rPr>
        <w:t>Se revisaron 300 reportes de endoscopia,  de los cuales 154 eran hombres (51.3%), 146 mujeres (48.7%), con una mediana edad 56 años (15-95).</w:t>
      </w:r>
      <w:r w:rsidR="00DB1E52">
        <w:rPr>
          <w:rFonts w:ascii="Arial" w:hAnsi="Arial" w:cs="Arial"/>
        </w:rPr>
        <w:t xml:space="preserve"> (Tabla 2.)</w:t>
      </w:r>
    </w:p>
    <w:p w14:paraId="663A60A3" w14:textId="77777777" w:rsidR="00DB1E52" w:rsidRDefault="00DB1E52" w:rsidP="00872591">
      <w:pPr>
        <w:spacing w:line="360" w:lineRule="auto"/>
        <w:jc w:val="both"/>
        <w:rPr>
          <w:rFonts w:ascii="Arial" w:hAnsi="Arial" w:cs="Arial"/>
        </w:rPr>
      </w:pPr>
    </w:p>
    <w:p w14:paraId="689A4B04" w14:textId="77777777" w:rsidR="00DB1E52" w:rsidRPr="00DB1E52" w:rsidRDefault="00DB1E52" w:rsidP="00872591">
      <w:pPr>
        <w:spacing w:line="360" w:lineRule="auto"/>
        <w:jc w:val="both"/>
        <w:rPr>
          <w:rFonts w:ascii="Arial" w:hAnsi="Arial" w:cs="Arial"/>
        </w:rPr>
      </w:pPr>
      <w:r w:rsidRPr="00DB1E52">
        <w:rPr>
          <w:rFonts w:ascii="Arial" w:hAnsi="Arial" w:cs="Arial"/>
        </w:rPr>
        <w:t>De los 21 indicadores de endoscopia del tracto gastrointestinal superior que si se pudieron evaluar, se cumplen 13 (65%), en algunos de ellos se alcanza un 50% del rendimiento sugerido por las guías.</w:t>
      </w:r>
    </w:p>
    <w:p w14:paraId="023CD7AF" w14:textId="77777777" w:rsidR="00F14F21" w:rsidRDefault="00F14F21" w:rsidP="00872591">
      <w:pPr>
        <w:pStyle w:val="Textodecuerpo"/>
        <w:spacing w:line="360" w:lineRule="auto"/>
        <w:rPr>
          <w:rFonts w:cs="Arial"/>
          <w:sz w:val="22"/>
          <w:szCs w:val="22"/>
        </w:rPr>
      </w:pPr>
    </w:p>
    <w:p w14:paraId="732B1862" w14:textId="77777777" w:rsidR="00F14F21" w:rsidRPr="00BC623C" w:rsidRDefault="00F14F21" w:rsidP="00872591">
      <w:pPr>
        <w:pStyle w:val="Textodecuerpo"/>
        <w:spacing w:line="360" w:lineRule="auto"/>
        <w:rPr>
          <w:rFonts w:cs="Arial"/>
          <w:szCs w:val="24"/>
        </w:rPr>
      </w:pPr>
      <w:r w:rsidRPr="00BC623C">
        <w:rPr>
          <w:rFonts w:cs="Arial"/>
          <w:szCs w:val="24"/>
        </w:rPr>
        <w:t>DISCUSION</w:t>
      </w:r>
    </w:p>
    <w:p w14:paraId="57535034" w14:textId="77777777" w:rsidR="00F14F21" w:rsidRPr="00BC623C" w:rsidRDefault="00F14F21" w:rsidP="00872591">
      <w:pPr>
        <w:pStyle w:val="Textodecuerpo"/>
        <w:spacing w:line="360" w:lineRule="auto"/>
        <w:rPr>
          <w:rFonts w:cs="Arial"/>
          <w:szCs w:val="24"/>
        </w:rPr>
      </w:pPr>
    </w:p>
    <w:p w14:paraId="3238BB53" w14:textId="77777777" w:rsidR="00683F33" w:rsidRPr="00683F33" w:rsidRDefault="00683F33" w:rsidP="00872591">
      <w:pPr>
        <w:spacing w:line="360" w:lineRule="auto"/>
        <w:jc w:val="both"/>
        <w:rPr>
          <w:rFonts w:ascii="Arial" w:hAnsi="Arial" w:cs="Arial"/>
        </w:rPr>
      </w:pPr>
      <w:r w:rsidRPr="00683F33">
        <w:rPr>
          <w:rFonts w:ascii="Arial" w:hAnsi="Arial" w:cs="Arial"/>
        </w:rPr>
        <w:t>En 2006, la Sociedad Americana de Endoscopia Gastrointestinal (ASGE) y el Colegio Americano de Gastroenterología (ACG) publicaron la primera versión de indicadores de calidad para Endoscopia superior, siendo actualizada con nuevos datos pertinentes en 2015.</w:t>
      </w:r>
    </w:p>
    <w:p w14:paraId="4577303A" w14:textId="77777777" w:rsidR="00683F33" w:rsidRDefault="00683F33" w:rsidP="00872591">
      <w:pPr>
        <w:spacing w:line="360" w:lineRule="auto"/>
        <w:jc w:val="both"/>
        <w:rPr>
          <w:rFonts w:ascii="Arial" w:hAnsi="Arial" w:cs="Arial"/>
        </w:rPr>
      </w:pPr>
      <w:bookmarkStart w:id="0" w:name="_GoBack"/>
      <w:bookmarkEnd w:id="0"/>
      <w:r w:rsidRPr="00683F33">
        <w:rPr>
          <w:rFonts w:ascii="Arial" w:hAnsi="Arial" w:cs="Arial"/>
        </w:rPr>
        <w:t>Cada indicador de calidad se clasificó como un resultado o una medida del proceso.</w:t>
      </w:r>
    </w:p>
    <w:p w14:paraId="0881E915" w14:textId="77777777" w:rsidR="00683F33" w:rsidRPr="00683F33" w:rsidRDefault="00683F33" w:rsidP="00872591">
      <w:pPr>
        <w:spacing w:line="360" w:lineRule="auto"/>
        <w:jc w:val="both"/>
        <w:rPr>
          <w:rFonts w:ascii="Arial" w:hAnsi="Arial" w:cs="Arial"/>
        </w:rPr>
      </w:pPr>
    </w:p>
    <w:p w14:paraId="7AD76D18" w14:textId="77777777" w:rsidR="00683F33" w:rsidRDefault="00683F33" w:rsidP="00872591">
      <w:pPr>
        <w:spacing w:line="360" w:lineRule="auto"/>
        <w:jc w:val="both"/>
        <w:rPr>
          <w:rFonts w:ascii="Arial" w:hAnsi="Arial" w:cs="Arial"/>
        </w:rPr>
      </w:pPr>
      <w:r w:rsidRPr="00683F33">
        <w:rPr>
          <w:rFonts w:ascii="Arial" w:hAnsi="Arial" w:cs="Arial"/>
        </w:rPr>
        <w:t xml:space="preserve">Aunque se prefieren los indicadores de calidad de los resultados, algunos pueden ser difíciles de tomar en la práctica clínica rutinaria, ya que se necesita un análisis de grandes cantidades de datos y el seguimiento a largo plazo puede ser confundido por otros factores. De tales casos, el grupo de trabajo consideró razonable utilizar indicadores de proceso, como medidas sustitutivas en la endoscopia de alta calidad (1). En las guías de la Sociedad Americana de Endoscopia Gastrointestinal los indicadores de calidad se dividieron en 3 periodos de tiempo: pre-procedimiento, </w:t>
      </w:r>
      <w:proofErr w:type="spellStart"/>
      <w:r w:rsidRPr="00683F33">
        <w:rPr>
          <w:rFonts w:ascii="Arial" w:hAnsi="Arial" w:cs="Arial"/>
        </w:rPr>
        <w:t>intra</w:t>
      </w:r>
      <w:proofErr w:type="spellEnd"/>
      <w:r w:rsidRPr="00683F33">
        <w:rPr>
          <w:rFonts w:ascii="Arial" w:hAnsi="Arial" w:cs="Arial"/>
        </w:rPr>
        <w:t>-procedimiento y post-procedimiento.</w:t>
      </w:r>
      <w:r w:rsidR="00DB1E52">
        <w:rPr>
          <w:rFonts w:ascii="Arial" w:hAnsi="Arial" w:cs="Arial"/>
        </w:rPr>
        <w:t xml:space="preserve"> (Tabla 1)</w:t>
      </w:r>
    </w:p>
    <w:p w14:paraId="358120D7" w14:textId="77777777" w:rsidR="00683F33" w:rsidRPr="00BC623C" w:rsidRDefault="00683F33" w:rsidP="00872591">
      <w:pPr>
        <w:pStyle w:val="Textodecuerpo"/>
        <w:spacing w:line="360" w:lineRule="auto"/>
        <w:rPr>
          <w:rFonts w:cs="Arial"/>
          <w:szCs w:val="24"/>
        </w:rPr>
      </w:pPr>
    </w:p>
    <w:p w14:paraId="35D599F8" w14:textId="77777777" w:rsidR="00BC623C" w:rsidRPr="00BC623C" w:rsidRDefault="00BC623C" w:rsidP="00872591">
      <w:pPr>
        <w:pStyle w:val="Textodecuerpo"/>
        <w:spacing w:line="360" w:lineRule="auto"/>
        <w:rPr>
          <w:rFonts w:cs="Arial"/>
          <w:szCs w:val="24"/>
        </w:rPr>
      </w:pPr>
      <w:r w:rsidRPr="00BC623C">
        <w:rPr>
          <w:rFonts w:cs="Arial"/>
          <w:szCs w:val="24"/>
        </w:rPr>
        <w:t>De a cuerdo nuestros resultados, de los 21 indicadores de endoscopia del tracto gastrointestinal superior que si se pudieron evaluar, se cumplen 13 (65%), en algunos de ellos se alcanza un 50% del rendimiento sugerido por las guías.</w:t>
      </w:r>
    </w:p>
    <w:p w14:paraId="5E808BF8" w14:textId="77777777" w:rsidR="00BC623C" w:rsidRPr="00BC623C" w:rsidRDefault="00BC623C" w:rsidP="00872591">
      <w:pPr>
        <w:pStyle w:val="Textodecuerpo"/>
        <w:spacing w:line="360" w:lineRule="auto"/>
        <w:rPr>
          <w:rFonts w:cs="Arial"/>
          <w:szCs w:val="24"/>
        </w:rPr>
      </w:pPr>
    </w:p>
    <w:p w14:paraId="048690E0" w14:textId="77777777" w:rsidR="00793DE2" w:rsidRPr="00BC623C" w:rsidRDefault="00793DE2" w:rsidP="00872591">
      <w:pPr>
        <w:spacing w:line="360" w:lineRule="auto"/>
        <w:jc w:val="both"/>
        <w:rPr>
          <w:rFonts w:ascii="Arial" w:hAnsi="Arial" w:cs="Arial"/>
          <w:lang w:eastAsia="ja-JP"/>
        </w:rPr>
      </w:pPr>
      <w:r w:rsidRPr="00BC623C">
        <w:rPr>
          <w:rFonts w:ascii="Arial" w:hAnsi="Arial" w:cs="Arial"/>
          <w:bCs/>
        </w:rPr>
        <w:t xml:space="preserve">En 2009 en el </w:t>
      </w:r>
      <w:r w:rsidRPr="00BC623C">
        <w:rPr>
          <w:rFonts w:ascii="Arial" w:hAnsi="Arial" w:cs="Arial"/>
          <w:lang w:eastAsia="ja-JP"/>
        </w:rPr>
        <w:t xml:space="preserve">Hospital de Especialidades del Centro Médico Nacional la Raza del IMSS se llevó a cabo un estudio acerca del registro de indicadores de calidad en </w:t>
      </w:r>
      <w:proofErr w:type="spellStart"/>
      <w:r w:rsidRPr="00BC623C">
        <w:rPr>
          <w:rFonts w:ascii="Arial" w:hAnsi="Arial" w:cs="Arial"/>
          <w:lang w:eastAsia="ja-JP"/>
        </w:rPr>
        <w:t>esofagogastroduodenoscopia</w:t>
      </w:r>
      <w:proofErr w:type="spellEnd"/>
      <w:r w:rsidRPr="00BC623C">
        <w:rPr>
          <w:rFonts w:ascii="Arial" w:hAnsi="Arial" w:cs="Arial"/>
          <w:lang w:eastAsia="ja-JP"/>
        </w:rPr>
        <w:t xml:space="preserve">. El estudio tomó en cuenta solo los siguientes indicadores: consentimiento informado, examen completo, medición de la extensión de esófago de </w:t>
      </w:r>
      <w:proofErr w:type="spellStart"/>
      <w:r w:rsidRPr="00BC623C">
        <w:rPr>
          <w:rFonts w:ascii="Arial" w:hAnsi="Arial" w:cs="Arial"/>
          <w:lang w:eastAsia="ja-JP"/>
        </w:rPr>
        <w:t>Barret</w:t>
      </w:r>
      <w:proofErr w:type="spellEnd"/>
      <w:r w:rsidRPr="00BC623C">
        <w:rPr>
          <w:rFonts w:ascii="Arial" w:hAnsi="Arial" w:cs="Arial"/>
          <w:lang w:eastAsia="ja-JP"/>
        </w:rPr>
        <w:t xml:space="preserve">, toma de biopsias en esófago de </w:t>
      </w:r>
      <w:proofErr w:type="spellStart"/>
      <w:r w:rsidRPr="00BC623C">
        <w:rPr>
          <w:rFonts w:ascii="Arial" w:hAnsi="Arial" w:cs="Arial"/>
          <w:lang w:eastAsia="ja-JP"/>
        </w:rPr>
        <w:t>Barret</w:t>
      </w:r>
      <w:proofErr w:type="spellEnd"/>
      <w:r w:rsidRPr="00BC623C">
        <w:rPr>
          <w:rFonts w:ascii="Arial" w:hAnsi="Arial" w:cs="Arial"/>
          <w:lang w:eastAsia="ja-JP"/>
        </w:rPr>
        <w:t>, toma de biopsias en úlcera gástrica, descripción y localización de lesiones en hemorragia de tubo digestivo alto, tratamiento endoscópico para hemorragia de tubo digestivo alto, documentación de hemostasia en pacientes en quienes se aplicó tratamiento hemostático, recomendación de inhibidor de la bomba de protones en pacientes a quienes se les realizó dilatación esofágica por estenosis péptica y en pacientes con úlcera péptica. De los 10 indicadores de calidad evaluados nueve tuvieron un porcentaje de registro por arriba del 80% y seis por arriba de 90%. Sólo uno de ellos estuvo por debajo del 30% y correspondió a la recomendación del inhibidor de la bomba de protones en pacientes con diagnóstico de úlcera péptica.</w:t>
      </w:r>
    </w:p>
    <w:p w14:paraId="39708471" w14:textId="77777777" w:rsidR="00793DE2" w:rsidRPr="00BC623C" w:rsidRDefault="00793DE2" w:rsidP="00872591">
      <w:pPr>
        <w:spacing w:line="360" w:lineRule="auto"/>
        <w:jc w:val="both"/>
        <w:rPr>
          <w:rFonts w:ascii="Arial" w:hAnsi="Arial" w:cs="Arial"/>
          <w:lang w:eastAsia="ja-JP"/>
        </w:rPr>
      </w:pPr>
      <w:r w:rsidRPr="00BC623C">
        <w:rPr>
          <w:rFonts w:ascii="Arial" w:hAnsi="Arial" w:cs="Arial"/>
          <w:lang w:eastAsia="ja-JP"/>
        </w:rPr>
        <w:t xml:space="preserve">Con base en los resultados, sus autores concluyeron que la frecuencia en el registro de los indicadores de calidad evaluados es alta para indicadores relativos a la hemorragia de tubo digestivo alto, el examen completo y en esófago de </w:t>
      </w:r>
      <w:proofErr w:type="spellStart"/>
      <w:r w:rsidRPr="00BC623C">
        <w:rPr>
          <w:rFonts w:ascii="Arial" w:hAnsi="Arial" w:cs="Arial"/>
          <w:lang w:eastAsia="ja-JP"/>
        </w:rPr>
        <w:t>Barret</w:t>
      </w:r>
      <w:proofErr w:type="spellEnd"/>
      <w:r w:rsidRPr="00BC623C">
        <w:rPr>
          <w:rFonts w:ascii="Arial" w:hAnsi="Arial" w:cs="Arial"/>
          <w:lang w:eastAsia="ja-JP"/>
        </w:rPr>
        <w:t>. Las recomendaciones de tratamiento farmacológico en los trastornos de origen péptico es un tópico controvertido que debe mejorarse. No se puede establecer si no se cumplió con todos los indicadores, ya que cabe la posibilidad de que se hubieran realizado pero no registrado en los informes. Sin embargo, una atención de calidad incluye el registro adecuado de todas las acciones (3).</w:t>
      </w:r>
    </w:p>
    <w:p w14:paraId="2C95BD31" w14:textId="77777777" w:rsidR="00BC623C" w:rsidRPr="00BC623C" w:rsidRDefault="00BC623C" w:rsidP="00872591">
      <w:pPr>
        <w:spacing w:line="360" w:lineRule="auto"/>
        <w:jc w:val="both"/>
        <w:rPr>
          <w:rFonts w:ascii="Arial" w:hAnsi="Arial" w:cs="Arial"/>
          <w:lang w:eastAsia="ja-JP"/>
        </w:rPr>
      </w:pPr>
    </w:p>
    <w:p w14:paraId="0787C7FD" w14:textId="77777777" w:rsidR="00793DE2" w:rsidRPr="00BC623C" w:rsidRDefault="00793DE2" w:rsidP="00872591">
      <w:pPr>
        <w:spacing w:line="360" w:lineRule="auto"/>
        <w:jc w:val="both"/>
        <w:rPr>
          <w:rFonts w:ascii="Arial" w:hAnsi="Arial" w:cs="Arial"/>
          <w:lang w:eastAsia="ja-JP"/>
        </w:rPr>
      </w:pPr>
      <w:r w:rsidRPr="00BC623C">
        <w:rPr>
          <w:rFonts w:ascii="Arial" w:hAnsi="Arial" w:cs="Arial"/>
          <w:lang w:eastAsia="ja-JP"/>
        </w:rPr>
        <w:t xml:space="preserve">Recientemente en 2017, </w:t>
      </w:r>
      <w:r w:rsidRPr="00BC623C">
        <w:rPr>
          <w:rFonts w:ascii="Arial" w:hAnsi="Arial" w:cs="Arial"/>
        </w:rPr>
        <w:t xml:space="preserve">Córdova H y colaboradores publicaron un estudio comparativo de </w:t>
      </w:r>
      <w:r w:rsidRPr="00BC623C">
        <w:rPr>
          <w:rFonts w:ascii="Arial" w:eastAsia="Arial Unicode MS" w:hAnsi="Arial" w:cs="Arial"/>
          <w:bCs/>
        </w:rPr>
        <w:t xml:space="preserve">Indicadores de calidad en la </w:t>
      </w:r>
      <w:proofErr w:type="spellStart"/>
      <w:r w:rsidRPr="00BC623C">
        <w:rPr>
          <w:rFonts w:ascii="Arial" w:eastAsia="Arial Unicode MS" w:hAnsi="Arial" w:cs="Arial"/>
          <w:bCs/>
        </w:rPr>
        <w:t>esofagogastroduodenoscopia</w:t>
      </w:r>
      <w:proofErr w:type="spellEnd"/>
      <w:r w:rsidRPr="00BC623C">
        <w:rPr>
          <w:rFonts w:ascii="Arial" w:eastAsia="Arial Unicode MS" w:hAnsi="Arial" w:cs="Arial"/>
          <w:bCs/>
        </w:rPr>
        <w:t xml:space="preserve"> tras un programa de mejora en un hospital terciario, en cual se reportó que </w:t>
      </w:r>
      <w:r w:rsidRPr="00BC623C">
        <w:rPr>
          <w:rFonts w:ascii="Arial" w:hAnsi="Arial" w:cs="Arial"/>
        </w:rPr>
        <w:t xml:space="preserve">tras el programa de formación se observó una mejoría significativa en los siguientes indicadores: indicación documentada (93 vs. 99.8%), exploraciones completas documentadas (94.7 vs. 97.3%), actuación correcta (63.7 vs. 87.9%), toma adecuada de biopsias según protocolos (57.9 vs. 83.8%), </w:t>
      </w:r>
      <w:proofErr w:type="spellStart"/>
      <w:r w:rsidRPr="00BC623C">
        <w:rPr>
          <w:rFonts w:ascii="Arial" w:hAnsi="Arial" w:cs="Arial"/>
        </w:rPr>
        <w:t>fotodocumentación</w:t>
      </w:r>
      <w:proofErr w:type="spellEnd"/>
      <w:r w:rsidRPr="00BC623C">
        <w:rPr>
          <w:rFonts w:ascii="Arial" w:hAnsi="Arial" w:cs="Arial"/>
        </w:rPr>
        <w:t xml:space="preserve"> de lesiones descritas (84.1 vs. 94.9%), </w:t>
      </w:r>
      <w:proofErr w:type="spellStart"/>
      <w:r w:rsidRPr="00BC623C">
        <w:rPr>
          <w:rFonts w:ascii="Arial" w:hAnsi="Arial" w:cs="Arial"/>
        </w:rPr>
        <w:t>fotodocumentación</w:t>
      </w:r>
      <w:proofErr w:type="spellEnd"/>
      <w:r w:rsidRPr="00BC623C">
        <w:rPr>
          <w:rFonts w:ascii="Arial" w:hAnsi="Arial" w:cs="Arial"/>
        </w:rPr>
        <w:t xml:space="preserve"> por segmentos (52.9 vs. 70.5%) y valoración global correcta (56.9 vs. 90.5%). La toma de biopsias para enfermedad celiaca, la indicación documentada, la exploración completa y la actuación correcta, si procedía, consiguieron superar el estándar recomendado. Concluyen que tras un programa de formación muy sencillo mejoran los indicadores de calidad de la </w:t>
      </w:r>
      <w:proofErr w:type="spellStart"/>
      <w:r w:rsidRPr="00BC623C">
        <w:rPr>
          <w:rFonts w:ascii="Arial" w:hAnsi="Arial" w:cs="Arial"/>
        </w:rPr>
        <w:t>esofagogastroduodenoscopia</w:t>
      </w:r>
      <w:proofErr w:type="spellEnd"/>
      <w:r w:rsidRPr="00BC623C">
        <w:rPr>
          <w:rFonts w:ascii="Arial" w:hAnsi="Arial" w:cs="Arial"/>
        </w:rPr>
        <w:t xml:space="preserve">, alcanzando la mayoría los estándares recomendados por la American </w:t>
      </w:r>
      <w:proofErr w:type="spellStart"/>
      <w:r w:rsidRPr="00BC623C">
        <w:rPr>
          <w:rFonts w:ascii="Arial" w:hAnsi="Arial" w:cs="Arial"/>
        </w:rPr>
        <w:t>Society</w:t>
      </w:r>
      <w:proofErr w:type="spellEnd"/>
      <w:r w:rsidRPr="00BC623C">
        <w:rPr>
          <w:rFonts w:ascii="Arial" w:hAnsi="Arial" w:cs="Arial"/>
        </w:rPr>
        <w:t xml:space="preserve"> </w:t>
      </w:r>
      <w:proofErr w:type="spellStart"/>
      <w:r w:rsidRPr="00BC623C">
        <w:rPr>
          <w:rFonts w:ascii="Arial" w:hAnsi="Arial" w:cs="Arial"/>
        </w:rPr>
        <w:t>for</w:t>
      </w:r>
      <w:proofErr w:type="spellEnd"/>
      <w:r w:rsidRPr="00BC623C">
        <w:rPr>
          <w:rFonts w:ascii="Arial" w:hAnsi="Arial" w:cs="Arial"/>
        </w:rPr>
        <w:t xml:space="preserve"> Gastrointestinal </w:t>
      </w:r>
      <w:proofErr w:type="spellStart"/>
      <w:r w:rsidRPr="00BC623C">
        <w:rPr>
          <w:rFonts w:ascii="Arial" w:hAnsi="Arial" w:cs="Arial"/>
        </w:rPr>
        <w:t>Endoscopy</w:t>
      </w:r>
      <w:proofErr w:type="spellEnd"/>
      <w:r w:rsidRPr="00BC623C">
        <w:rPr>
          <w:rFonts w:ascii="Arial" w:hAnsi="Arial" w:cs="Arial"/>
        </w:rPr>
        <w:t xml:space="preserve"> y el American </w:t>
      </w:r>
      <w:proofErr w:type="spellStart"/>
      <w:r w:rsidRPr="00BC623C">
        <w:rPr>
          <w:rFonts w:ascii="Arial" w:hAnsi="Arial" w:cs="Arial"/>
        </w:rPr>
        <w:t>College</w:t>
      </w:r>
      <w:proofErr w:type="spellEnd"/>
      <w:r w:rsidRPr="00BC623C">
        <w:rPr>
          <w:rFonts w:ascii="Arial" w:hAnsi="Arial" w:cs="Arial"/>
        </w:rPr>
        <w:t xml:space="preserve"> of </w:t>
      </w:r>
      <w:proofErr w:type="spellStart"/>
      <w:r w:rsidRPr="00BC623C">
        <w:rPr>
          <w:rFonts w:ascii="Arial" w:hAnsi="Arial" w:cs="Arial"/>
        </w:rPr>
        <w:t>Gastroenterology</w:t>
      </w:r>
      <w:proofErr w:type="spellEnd"/>
      <w:r w:rsidRPr="00BC623C">
        <w:rPr>
          <w:rFonts w:ascii="Arial" w:hAnsi="Arial" w:cs="Arial"/>
        </w:rPr>
        <w:t xml:space="preserve"> (4).</w:t>
      </w:r>
    </w:p>
    <w:p w14:paraId="7F0FD773" w14:textId="77777777" w:rsidR="003F5403" w:rsidRPr="00BC623C" w:rsidRDefault="003F5403" w:rsidP="00872591">
      <w:pPr>
        <w:pStyle w:val="Textodecuerpo"/>
        <w:spacing w:line="360" w:lineRule="auto"/>
        <w:rPr>
          <w:rFonts w:cs="Arial"/>
          <w:szCs w:val="24"/>
        </w:rPr>
      </w:pPr>
    </w:p>
    <w:p w14:paraId="22CB26F5" w14:textId="7C31CC41" w:rsidR="00401367" w:rsidRDefault="00401367" w:rsidP="00872591">
      <w:pPr>
        <w:tabs>
          <w:tab w:val="left" w:pos="645"/>
        </w:tabs>
        <w:spacing w:line="360" w:lineRule="auto"/>
        <w:jc w:val="both"/>
        <w:rPr>
          <w:rFonts w:ascii="Arial" w:hAnsi="Arial" w:cs="Arial"/>
        </w:rPr>
      </w:pPr>
      <w:r>
        <w:rPr>
          <w:rFonts w:ascii="Arial" w:hAnsi="Arial" w:cs="Arial"/>
        </w:rPr>
        <w:t>CONCLUSIONES</w:t>
      </w:r>
    </w:p>
    <w:p w14:paraId="66A25207" w14:textId="77777777" w:rsidR="00401367" w:rsidRDefault="00401367" w:rsidP="00872591">
      <w:pPr>
        <w:tabs>
          <w:tab w:val="left" w:pos="645"/>
        </w:tabs>
        <w:spacing w:line="360" w:lineRule="auto"/>
        <w:jc w:val="both"/>
        <w:rPr>
          <w:rFonts w:ascii="Arial" w:hAnsi="Arial" w:cs="Arial"/>
        </w:rPr>
      </w:pPr>
    </w:p>
    <w:p w14:paraId="1DC94CDE" w14:textId="4980434C" w:rsidR="00BC623C" w:rsidRPr="00BC623C" w:rsidRDefault="00401367" w:rsidP="00872591">
      <w:pPr>
        <w:tabs>
          <w:tab w:val="left" w:pos="645"/>
        </w:tabs>
        <w:spacing w:line="360" w:lineRule="auto"/>
        <w:jc w:val="both"/>
        <w:rPr>
          <w:rFonts w:ascii="Arial" w:hAnsi="Arial" w:cs="Arial"/>
        </w:rPr>
      </w:pPr>
      <w:r>
        <w:rPr>
          <w:rFonts w:ascii="Arial" w:hAnsi="Arial" w:cs="Arial"/>
        </w:rPr>
        <w:t>Consideramos</w:t>
      </w:r>
      <w:r w:rsidR="00BC623C" w:rsidRPr="00BC623C">
        <w:rPr>
          <w:rFonts w:ascii="Arial" w:hAnsi="Arial" w:cs="Arial"/>
        </w:rPr>
        <w:t xml:space="preserve"> que el haber realizado este estudio, es un </w:t>
      </w:r>
      <w:proofErr w:type="spellStart"/>
      <w:r w:rsidR="00BC623C" w:rsidRPr="00BC623C">
        <w:rPr>
          <w:rFonts w:ascii="Arial" w:hAnsi="Arial" w:cs="Arial"/>
        </w:rPr>
        <w:t>parteaguas</w:t>
      </w:r>
      <w:proofErr w:type="spellEnd"/>
      <w:r w:rsidR="00BC623C" w:rsidRPr="00BC623C">
        <w:rPr>
          <w:rFonts w:ascii="Arial" w:hAnsi="Arial" w:cs="Arial"/>
        </w:rPr>
        <w:t xml:space="preserve"> para conocer nuestras deficiencias en cuanto a la calidad de nuestros procedimientos, evaluar las razones del no cumplimiento de los indicadores y de esta manera poder implementar acciones de mejora, que lleven al cumplimiento sugerido por las guías, para poder ofrecer un servicio de calidad y calidez a nuestros pacientes.</w:t>
      </w:r>
    </w:p>
    <w:p w14:paraId="4E969E50" w14:textId="77777777" w:rsidR="003F5403" w:rsidRDefault="003F5403" w:rsidP="00872591">
      <w:pPr>
        <w:jc w:val="both"/>
        <w:rPr>
          <w:rFonts w:ascii="Arial" w:hAnsi="Arial"/>
        </w:rPr>
      </w:pPr>
    </w:p>
    <w:p w14:paraId="03444FB6" w14:textId="77777777" w:rsidR="0020597A" w:rsidRDefault="0020597A" w:rsidP="00872591">
      <w:pPr>
        <w:jc w:val="both"/>
        <w:rPr>
          <w:rFonts w:ascii="Arial" w:hAnsi="Arial"/>
        </w:rPr>
      </w:pPr>
      <w:r>
        <w:rPr>
          <w:rFonts w:ascii="Arial" w:hAnsi="Arial"/>
        </w:rPr>
        <w:t>TABLAS.</w:t>
      </w:r>
    </w:p>
    <w:p w14:paraId="6EB2BB20" w14:textId="77777777" w:rsidR="00683F33" w:rsidRDefault="00683F33" w:rsidP="00872591">
      <w:pPr>
        <w:jc w:val="both"/>
        <w:rPr>
          <w:rFonts w:ascii="Arial" w:hAnsi="Arial"/>
        </w:rPr>
      </w:pPr>
    </w:p>
    <w:p w14:paraId="59C1BBCD" w14:textId="77777777" w:rsidR="00683F33" w:rsidRDefault="00683F33">
      <w:pPr>
        <w:rPr>
          <w:rFonts w:ascii="Arial" w:hAnsi="Arial"/>
        </w:rPr>
      </w:pPr>
      <w:r>
        <w:rPr>
          <w:rFonts w:ascii="Arial" w:hAnsi="Arial"/>
        </w:rPr>
        <w:t>Tabla1: Indicadores de calidad</w:t>
      </w:r>
    </w:p>
    <w:p w14:paraId="784E9E15" w14:textId="77777777" w:rsidR="00683F33" w:rsidRDefault="00683F33">
      <w:pPr>
        <w:rPr>
          <w:rFonts w:ascii="Arial" w:hAnsi="Arial"/>
        </w:rPr>
      </w:pPr>
    </w:p>
    <w:tbl>
      <w:tblPr>
        <w:tblStyle w:val="Tablaconcuadrcula"/>
        <w:tblW w:w="0" w:type="auto"/>
        <w:tblLook w:val="04A0" w:firstRow="1" w:lastRow="0" w:firstColumn="1" w:lastColumn="0" w:noHBand="0" w:noVBand="1"/>
      </w:tblPr>
      <w:tblGrid>
        <w:gridCol w:w="1884"/>
        <w:gridCol w:w="4529"/>
        <w:gridCol w:w="1095"/>
        <w:gridCol w:w="1206"/>
      </w:tblGrid>
      <w:tr w:rsidR="00683F33" w14:paraId="27A3D270" w14:textId="77777777" w:rsidTr="009A51E3">
        <w:tc>
          <w:tcPr>
            <w:tcW w:w="0" w:type="auto"/>
          </w:tcPr>
          <w:p w14:paraId="7B137A12" w14:textId="77777777" w:rsidR="00683F33" w:rsidRPr="00683F33" w:rsidRDefault="00683F33">
            <w:pPr>
              <w:rPr>
                <w:rFonts w:ascii="Arial" w:hAnsi="Arial"/>
                <w:sz w:val="20"/>
                <w:szCs w:val="20"/>
              </w:rPr>
            </w:pPr>
            <w:r w:rsidRPr="00683F33">
              <w:rPr>
                <w:rFonts w:ascii="Arial" w:hAnsi="Arial"/>
                <w:sz w:val="20"/>
                <w:szCs w:val="20"/>
              </w:rPr>
              <w:t>PERIODO</w:t>
            </w:r>
          </w:p>
        </w:tc>
        <w:tc>
          <w:tcPr>
            <w:tcW w:w="0" w:type="auto"/>
          </w:tcPr>
          <w:p w14:paraId="353EFADA" w14:textId="77777777" w:rsidR="00683F33" w:rsidRPr="00683F33" w:rsidRDefault="00683F33">
            <w:pPr>
              <w:rPr>
                <w:rFonts w:ascii="Arial" w:hAnsi="Arial"/>
                <w:sz w:val="20"/>
                <w:szCs w:val="20"/>
              </w:rPr>
            </w:pPr>
            <w:r w:rsidRPr="00683F33">
              <w:rPr>
                <w:rFonts w:ascii="Arial" w:hAnsi="Arial"/>
                <w:sz w:val="20"/>
                <w:szCs w:val="20"/>
              </w:rPr>
              <w:t>INDICADOR DE CALIDAD</w:t>
            </w:r>
          </w:p>
        </w:tc>
        <w:tc>
          <w:tcPr>
            <w:tcW w:w="0" w:type="auto"/>
          </w:tcPr>
          <w:p w14:paraId="4C2A4FD7" w14:textId="77777777" w:rsidR="00683F33" w:rsidRPr="00683F33" w:rsidRDefault="00683F33">
            <w:pPr>
              <w:rPr>
                <w:rFonts w:ascii="Arial" w:hAnsi="Arial"/>
                <w:sz w:val="20"/>
                <w:szCs w:val="20"/>
              </w:rPr>
            </w:pPr>
            <w:r w:rsidRPr="00683F33">
              <w:rPr>
                <w:rFonts w:ascii="Arial" w:hAnsi="Arial"/>
                <w:sz w:val="20"/>
                <w:szCs w:val="20"/>
              </w:rPr>
              <w:t>TIPO</w:t>
            </w:r>
            <w:r>
              <w:rPr>
                <w:rFonts w:ascii="Arial" w:hAnsi="Arial"/>
                <w:sz w:val="20"/>
                <w:szCs w:val="20"/>
              </w:rPr>
              <w:t xml:space="preserve"> DE MEDIDA</w:t>
            </w:r>
          </w:p>
        </w:tc>
        <w:tc>
          <w:tcPr>
            <w:tcW w:w="0" w:type="auto"/>
          </w:tcPr>
          <w:p w14:paraId="0E45D25C" w14:textId="77777777" w:rsidR="00683F33" w:rsidRPr="00683F33" w:rsidRDefault="00683F33">
            <w:pPr>
              <w:rPr>
                <w:rFonts w:ascii="Arial" w:hAnsi="Arial"/>
                <w:sz w:val="20"/>
                <w:szCs w:val="20"/>
              </w:rPr>
            </w:pPr>
            <w:r w:rsidRPr="00683F33">
              <w:rPr>
                <w:rFonts w:ascii="Arial" w:hAnsi="Arial"/>
                <w:sz w:val="20"/>
                <w:szCs w:val="20"/>
              </w:rPr>
              <w:t>OBJETIVO</w:t>
            </w:r>
          </w:p>
        </w:tc>
      </w:tr>
      <w:tr w:rsidR="00683F33" w14:paraId="4465EC7E" w14:textId="77777777" w:rsidTr="009A51E3">
        <w:tc>
          <w:tcPr>
            <w:tcW w:w="0" w:type="auto"/>
          </w:tcPr>
          <w:p w14:paraId="52CCE34F" w14:textId="77777777" w:rsidR="00683F33" w:rsidRPr="00683F33" w:rsidRDefault="00683F33">
            <w:pPr>
              <w:rPr>
                <w:rFonts w:ascii="Arial" w:hAnsi="Arial"/>
                <w:sz w:val="20"/>
                <w:szCs w:val="20"/>
              </w:rPr>
            </w:pPr>
            <w:r w:rsidRPr="00683F33">
              <w:rPr>
                <w:rFonts w:ascii="Arial" w:hAnsi="Arial"/>
                <w:sz w:val="20"/>
                <w:szCs w:val="20"/>
              </w:rPr>
              <w:t>Pre</w:t>
            </w:r>
            <w:r>
              <w:rPr>
                <w:rFonts w:ascii="Arial" w:hAnsi="Arial"/>
                <w:sz w:val="20"/>
                <w:szCs w:val="20"/>
              </w:rPr>
              <w:t>-</w:t>
            </w:r>
            <w:r w:rsidRPr="00683F33">
              <w:rPr>
                <w:rFonts w:ascii="Arial" w:hAnsi="Arial"/>
                <w:sz w:val="20"/>
                <w:szCs w:val="20"/>
              </w:rPr>
              <w:t>procedimiento</w:t>
            </w:r>
          </w:p>
        </w:tc>
        <w:tc>
          <w:tcPr>
            <w:tcW w:w="0" w:type="auto"/>
          </w:tcPr>
          <w:p w14:paraId="193938A0" w14:textId="77777777" w:rsidR="00683F33" w:rsidRPr="00683F33" w:rsidRDefault="00683F33" w:rsidP="007D70CD">
            <w:pPr>
              <w:rPr>
                <w:rFonts w:ascii="Arial" w:hAnsi="Arial" w:cs="Arial"/>
              </w:rPr>
            </w:pPr>
            <w:r>
              <w:rPr>
                <w:rFonts w:ascii="Arial" w:hAnsi="Arial"/>
              </w:rPr>
              <w:t>1.-</w:t>
            </w:r>
            <w:r w:rsidRPr="00683F33">
              <w:rPr>
                <w:rFonts w:ascii="Arial" w:hAnsi="Arial" w:cs="Arial"/>
              </w:rPr>
              <w:t xml:space="preserve"> </w:t>
            </w:r>
            <w:r w:rsidRPr="00683F33">
              <w:rPr>
                <w:rFonts w:ascii="Arial" w:hAnsi="Arial" w:cs="Arial"/>
                <w:sz w:val="20"/>
                <w:szCs w:val="20"/>
              </w:rPr>
              <w:t xml:space="preserve">Frecuencia con la que una endoscopia superior se realiza con una indicación en una lista estándar publicada de indicaciones apropiadas y la indicación es documentada. </w:t>
            </w:r>
          </w:p>
          <w:p w14:paraId="433E0D52" w14:textId="77777777" w:rsidR="00683F33" w:rsidRDefault="00683F33" w:rsidP="007D70CD">
            <w:pPr>
              <w:rPr>
                <w:rFonts w:ascii="Arial" w:hAnsi="Arial"/>
              </w:rPr>
            </w:pPr>
          </w:p>
        </w:tc>
        <w:tc>
          <w:tcPr>
            <w:tcW w:w="0" w:type="auto"/>
          </w:tcPr>
          <w:p w14:paraId="3E91C94C" w14:textId="77777777" w:rsidR="00683F33" w:rsidRPr="009A51E3" w:rsidRDefault="00683F33">
            <w:pPr>
              <w:rPr>
                <w:rFonts w:ascii="Arial" w:hAnsi="Arial"/>
                <w:sz w:val="20"/>
                <w:szCs w:val="20"/>
              </w:rPr>
            </w:pPr>
            <w:r w:rsidRPr="009A51E3">
              <w:rPr>
                <w:rFonts w:ascii="Arial" w:hAnsi="Arial"/>
                <w:sz w:val="20"/>
                <w:szCs w:val="20"/>
              </w:rPr>
              <w:t>Proceso</w:t>
            </w:r>
          </w:p>
        </w:tc>
        <w:tc>
          <w:tcPr>
            <w:tcW w:w="0" w:type="auto"/>
          </w:tcPr>
          <w:p w14:paraId="79E43F86" w14:textId="77777777" w:rsidR="00683F33" w:rsidRPr="009A51E3" w:rsidRDefault="00683F33">
            <w:pPr>
              <w:rPr>
                <w:rFonts w:ascii="Arial" w:hAnsi="Arial"/>
                <w:sz w:val="20"/>
                <w:szCs w:val="20"/>
              </w:rPr>
            </w:pPr>
            <w:r w:rsidRPr="009A51E3">
              <w:rPr>
                <w:rFonts w:ascii="Arial" w:hAnsi="Arial"/>
                <w:sz w:val="20"/>
                <w:szCs w:val="20"/>
              </w:rPr>
              <w:t>&gt;80%</w:t>
            </w:r>
          </w:p>
        </w:tc>
      </w:tr>
      <w:tr w:rsidR="00683F33" w:rsidRPr="00683F33" w14:paraId="795186D1" w14:textId="77777777" w:rsidTr="009A51E3">
        <w:tc>
          <w:tcPr>
            <w:tcW w:w="0" w:type="auto"/>
          </w:tcPr>
          <w:p w14:paraId="152E7E82" w14:textId="77777777" w:rsidR="00683F33" w:rsidRPr="00683F33" w:rsidRDefault="00683F33">
            <w:pPr>
              <w:rPr>
                <w:rFonts w:ascii="Arial" w:hAnsi="Arial"/>
                <w:sz w:val="20"/>
                <w:szCs w:val="20"/>
              </w:rPr>
            </w:pPr>
          </w:p>
        </w:tc>
        <w:tc>
          <w:tcPr>
            <w:tcW w:w="0" w:type="auto"/>
          </w:tcPr>
          <w:p w14:paraId="33B807CF" w14:textId="77777777" w:rsidR="00683F33" w:rsidRPr="007D70CD" w:rsidRDefault="00683F33" w:rsidP="007D70CD">
            <w:pPr>
              <w:rPr>
                <w:rFonts w:ascii="Arial" w:hAnsi="Arial"/>
                <w:sz w:val="20"/>
                <w:szCs w:val="20"/>
              </w:rPr>
            </w:pPr>
            <w:r w:rsidRPr="007D70CD">
              <w:rPr>
                <w:rFonts w:ascii="Arial" w:hAnsi="Arial" w:cs="Arial"/>
                <w:sz w:val="20"/>
                <w:szCs w:val="20"/>
              </w:rPr>
              <w:t>2.-Frecuencia con la que se obtiene el consentimiento informado, incluyendo especificaciones sobre los riesgos de la endoscopia superior, y esto es documentado completamente.</w:t>
            </w:r>
          </w:p>
        </w:tc>
        <w:tc>
          <w:tcPr>
            <w:tcW w:w="0" w:type="auto"/>
          </w:tcPr>
          <w:p w14:paraId="36106E16" w14:textId="77777777" w:rsidR="00683F33" w:rsidRPr="00683F33" w:rsidRDefault="007D70CD">
            <w:pPr>
              <w:rPr>
                <w:rFonts w:ascii="Arial" w:hAnsi="Arial"/>
                <w:sz w:val="20"/>
                <w:szCs w:val="20"/>
              </w:rPr>
            </w:pPr>
            <w:r>
              <w:rPr>
                <w:rFonts w:ascii="Arial" w:hAnsi="Arial"/>
                <w:sz w:val="20"/>
                <w:szCs w:val="20"/>
              </w:rPr>
              <w:t xml:space="preserve">Proceso </w:t>
            </w:r>
          </w:p>
        </w:tc>
        <w:tc>
          <w:tcPr>
            <w:tcW w:w="0" w:type="auto"/>
          </w:tcPr>
          <w:p w14:paraId="2F5C0C53" w14:textId="77777777" w:rsidR="00683F33" w:rsidRPr="00683F33" w:rsidRDefault="007D70CD">
            <w:pPr>
              <w:rPr>
                <w:rFonts w:ascii="Arial" w:hAnsi="Arial"/>
                <w:sz w:val="20"/>
                <w:szCs w:val="20"/>
              </w:rPr>
            </w:pPr>
            <w:r>
              <w:rPr>
                <w:rFonts w:ascii="Arial" w:hAnsi="Arial"/>
                <w:sz w:val="20"/>
                <w:szCs w:val="20"/>
              </w:rPr>
              <w:t>&gt;98%</w:t>
            </w:r>
          </w:p>
        </w:tc>
      </w:tr>
      <w:tr w:rsidR="00683F33" w:rsidRPr="00683F33" w14:paraId="54EED038" w14:textId="77777777" w:rsidTr="009A51E3">
        <w:tc>
          <w:tcPr>
            <w:tcW w:w="0" w:type="auto"/>
          </w:tcPr>
          <w:p w14:paraId="47AE08BF" w14:textId="77777777" w:rsidR="00683F33" w:rsidRPr="00683F33" w:rsidRDefault="00683F33">
            <w:pPr>
              <w:rPr>
                <w:rFonts w:ascii="Arial" w:hAnsi="Arial"/>
                <w:sz w:val="20"/>
                <w:szCs w:val="20"/>
              </w:rPr>
            </w:pPr>
          </w:p>
        </w:tc>
        <w:tc>
          <w:tcPr>
            <w:tcW w:w="0" w:type="auto"/>
          </w:tcPr>
          <w:p w14:paraId="7A9254EF" w14:textId="77777777" w:rsidR="00683F33" w:rsidRPr="007D70CD" w:rsidRDefault="007D70CD" w:rsidP="007D70CD">
            <w:pPr>
              <w:rPr>
                <w:rFonts w:ascii="Arial" w:hAnsi="Arial"/>
                <w:sz w:val="20"/>
                <w:szCs w:val="20"/>
              </w:rPr>
            </w:pPr>
            <w:r w:rsidRPr="007D70CD">
              <w:rPr>
                <w:rFonts w:ascii="Arial" w:hAnsi="Arial"/>
                <w:sz w:val="20"/>
                <w:szCs w:val="20"/>
              </w:rPr>
              <w:t>3.-</w:t>
            </w:r>
            <w:r w:rsidRPr="007D70CD">
              <w:rPr>
                <w:rFonts w:ascii="Arial" w:hAnsi="Arial" w:cs="Arial"/>
                <w:sz w:val="20"/>
                <w:szCs w:val="20"/>
              </w:rPr>
              <w:t xml:space="preserve"> Frecuencia con la que antibióticos profilácticos apropiados se administran en pacientes con cirrosis hepática con hemorragia gastrointestinal antes de realizar endoscopia superior (indicador de prioridad). </w:t>
            </w:r>
          </w:p>
        </w:tc>
        <w:tc>
          <w:tcPr>
            <w:tcW w:w="0" w:type="auto"/>
          </w:tcPr>
          <w:p w14:paraId="5AD154F3" w14:textId="77777777" w:rsidR="00683F33" w:rsidRPr="00683F33" w:rsidRDefault="007D70CD">
            <w:pPr>
              <w:rPr>
                <w:rFonts w:ascii="Arial" w:hAnsi="Arial"/>
                <w:sz w:val="20"/>
                <w:szCs w:val="20"/>
              </w:rPr>
            </w:pPr>
            <w:r>
              <w:rPr>
                <w:rFonts w:ascii="Arial" w:hAnsi="Arial"/>
                <w:sz w:val="20"/>
                <w:szCs w:val="20"/>
              </w:rPr>
              <w:t xml:space="preserve">Proceso </w:t>
            </w:r>
          </w:p>
        </w:tc>
        <w:tc>
          <w:tcPr>
            <w:tcW w:w="0" w:type="auto"/>
          </w:tcPr>
          <w:p w14:paraId="2BB4DF7F" w14:textId="77777777" w:rsidR="00683F33" w:rsidRPr="00683F33" w:rsidRDefault="007D70CD">
            <w:pPr>
              <w:rPr>
                <w:rFonts w:ascii="Arial" w:hAnsi="Arial"/>
                <w:sz w:val="20"/>
                <w:szCs w:val="20"/>
              </w:rPr>
            </w:pPr>
            <w:r>
              <w:rPr>
                <w:rFonts w:ascii="Arial" w:hAnsi="Arial"/>
                <w:sz w:val="20"/>
                <w:szCs w:val="20"/>
              </w:rPr>
              <w:t>&gt;98%</w:t>
            </w:r>
          </w:p>
        </w:tc>
      </w:tr>
      <w:tr w:rsidR="00683F33" w:rsidRPr="00683F33" w14:paraId="33F3235F" w14:textId="77777777" w:rsidTr="009A51E3">
        <w:tc>
          <w:tcPr>
            <w:tcW w:w="0" w:type="auto"/>
          </w:tcPr>
          <w:p w14:paraId="68B6E050" w14:textId="77777777" w:rsidR="00683F33" w:rsidRPr="00683F33" w:rsidRDefault="00683F33">
            <w:pPr>
              <w:rPr>
                <w:rFonts w:ascii="Arial" w:hAnsi="Arial"/>
                <w:sz w:val="20"/>
                <w:szCs w:val="20"/>
              </w:rPr>
            </w:pPr>
          </w:p>
        </w:tc>
        <w:tc>
          <w:tcPr>
            <w:tcW w:w="0" w:type="auto"/>
          </w:tcPr>
          <w:p w14:paraId="4AC85373" w14:textId="77777777" w:rsidR="00683F33" w:rsidRPr="007D70CD" w:rsidRDefault="007D70CD" w:rsidP="007D70CD">
            <w:pPr>
              <w:rPr>
                <w:rFonts w:ascii="Arial" w:hAnsi="Arial"/>
                <w:sz w:val="20"/>
                <w:szCs w:val="20"/>
              </w:rPr>
            </w:pPr>
            <w:r w:rsidRPr="007D70CD">
              <w:rPr>
                <w:rFonts w:ascii="Arial" w:hAnsi="Arial" w:cs="Arial"/>
                <w:sz w:val="20"/>
                <w:szCs w:val="20"/>
              </w:rPr>
              <w:t>4.-Frecuencia con la que antibióticos profilácticos apropiados se administran en pacientes con cirrosis hepática con hemorragia gastrointestinal antes de realizar endoscopia superior (indicador de prioridad</w:t>
            </w:r>
          </w:p>
        </w:tc>
        <w:tc>
          <w:tcPr>
            <w:tcW w:w="0" w:type="auto"/>
          </w:tcPr>
          <w:p w14:paraId="02363C52" w14:textId="77777777" w:rsidR="00683F33" w:rsidRPr="00683F33" w:rsidRDefault="007D70CD">
            <w:pPr>
              <w:rPr>
                <w:rFonts w:ascii="Arial" w:hAnsi="Arial"/>
                <w:sz w:val="20"/>
                <w:szCs w:val="20"/>
              </w:rPr>
            </w:pPr>
            <w:r>
              <w:rPr>
                <w:rFonts w:ascii="Arial" w:hAnsi="Arial"/>
                <w:sz w:val="20"/>
                <w:szCs w:val="20"/>
              </w:rPr>
              <w:t xml:space="preserve">Proceso </w:t>
            </w:r>
          </w:p>
        </w:tc>
        <w:tc>
          <w:tcPr>
            <w:tcW w:w="0" w:type="auto"/>
          </w:tcPr>
          <w:p w14:paraId="75B4CB96" w14:textId="77777777" w:rsidR="00683F33" w:rsidRPr="00683F33" w:rsidRDefault="007D70CD">
            <w:pPr>
              <w:rPr>
                <w:rFonts w:ascii="Arial" w:hAnsi="Arial"/>
                <w:sz w:val="20"/>
                <w:szCs w:val="20"/>
              </w:rPr>
            </w:pPr>
            <w:r>
              <w:rPr>
                <w:rFonts w:ascii="Arial" w:hAnsi="Arial"/>
                <w:sz w:val="20"/>
                <w:szCs w:val="20"/>
              </w:rPr>
              <w:t>&gt;98%</w:t>
            </w:r>
          </w:p>
        </w:tc>
      </w:tr>
      <w:tr w:rsidR="00683F33" w:rsidRPr="00683F33" w14:paraId="28BB7AF5" w14:textId="77777777" w:rsidTr="009A51E3">
        <w:tc>
          <w:tcPr>
            <w:tcW w:w="0" w:type="auto"/>
          </w:tcPr>
          <w:p w14:paraId="11A0B0E2" w14:textId="77777777" w:rsidR="00683F33" w:rsidRPr="00683F33" w:rsidRDefault="00683F33">
            <w:pPr>
              <w:rPr>
                <w:rFonts w:ascii="Arial" w:hAnsi="Arial"/>
                <w:sz w:val="20"/>
                <w:szCs w:val="20"/>
              </w:rPr>
            </w:pPr>
          </w:p>
        </w:tc>
        <w:tc>
          <w:tcPr>
            <w:tcW w:w="0" w:type="auto"/>
          </w:tcPr>
          <w:p w14:paraId="5CAE7882" w14:textId="77777777" w:rsidR="00683F33" w:rsidRPr="007D70CD" w:rsidRDefault="007D70CD" w:rsidP="007D70CD">
            <w:pPr>
              <w:rPr>
                <w:rFonts w:ascii="Arial" w:hAnsi="Arial"/>
                <w:sz w:val="20"/>
                <w:szCs w:val="20"/>
              </w:rPr>
            </w:pPr>
            <w:r w:rsidRPr="007D70CD">
              <w:rPr>
                <w:rFonts w:ascii="Arial" w:hAnsi="Arial"/>
                <w:sz w:val="20"/>
                <w:szCs w:val="20"/>
              </w:rPr>
              <w:t>5.-</w:t>
            </w:r>
            <w:r w:rsidRPr="007D70CD">
              <w:rPr>
                <w:rFonts w:ascii="Arial" w:hAnsi="Arial" w:cs="Arial"/>
                <w:sz w:val="20"/>
                <w:szCs w:val="20"/>
              </w:rPr>
              <w:t xml:space="preserve"> Frecuencia con la que inhibidor de bomba de protones (IBP) se utiliza en sospecha de hemorragia por úlcera péptica (Indicador de prioridad). </w:t>
            </w:r>
          </w:p>
        </w:tc>
        <w:tc>
          <w:tcPr>
            <w:tcW w:w="0" w:type="auto"/>
          </w:tcPr>
          <w:p w14:paraId="2C520C16" w14:textId="77777777" w:rsidR="00683F33" w:rsidRPr="00683F33" w:rsidRDefault="007D70CD">
            <w:pPr>
              <w:rPr>
                <w:rFonts w:ascii="Arial" w:hAnsi="Arial"/>
                <w:sz w:val="20"/>
                <w:szCs w:val="20"/>
              </w:rPr>
            </w:pPr>
            <w:r>
              <w:rPr>
                <w:rFonts w:ascii="Arial" w:hAnsi="Arial"/>
                <w:sz w:val="20"/>
                <w:szCs w:val="20"/>
              </w:rPr>
              <w:t xml:space="preserve">Proceso </w:t>
            </w:r>
          </w:p>
        </w:tc>
        <w:tc>
          <w:tcPr>
            <w:tcW w:w="0" w:type="auto"/>
          </w:tcPr>
          <w:p w14:paraId="62A6814E" w14:textId="77777777" w:rsidR="00683F33" w:rsidRPr="00683F33" w:rsidRDefault="007D70CD">
            <w:pPr>
              <w:rPr>
                <w:rFonts w:ascii="Arial" w:hAnsi="Arial"/>
                <w:sz w:val="20"/>
                <w:szCs w:val="20"/>
              </w:rPr>
            </w:pPr>
            <w:r>
              <w:rPr>
                <w:rFonts w:ascii="Arial" w:hAnsi="Arial"/>
                <w:sz w:val="20"/>
                <w:szCs w:val="20"/>
              </w:rPr>
              <w:t>&gt;98%</w:t>
            </w:r>
          </w:p>
        </w:tc>
      </w:tr>
      <w:tr w:rsidR="00683F33" w:rsidRPr="00683F33" w14:paraId="69AA84F7" w14:textId="77777777" w:rsidTr="009A51E3">
        <w:tc>
          <w:tcPr>
            <w:tcW w:w="0" w:type="auto"/>
          </w:tcPr>
          <w:p w14:paraId="3B68D8E1" w14:textId="77777777" w:rsidR="00683F33" w:rsidRPr="00683F33" w:rsidRDefault="00683F33">
            <w:pPr>
              <w:rPr>
                <w:rFonts w:ascii="Arial" w:hAnsi="Arial"/>
                <w:sz w:val="20"/>
                <w:szCs w:val="20"/>
              </w:rPr>
            </w:pPr>
          </w:p>
        </w:tc>
        <w:tc>
          <w:tcPr>
            <w:tcW w:w="0" w:type="auto"/>
          </w:tcPr>
          <w:p w14:paraId="4054FB57" w14:textId="77777777" w:rsidR="00683F33" w:rsidRPr="007D70CD" w:rsidRDefault="007D70CD" w:rsidP="007D70CD">
            <w:pPr>
              <w:rPr>
                <w:rFonts w:ascii="Arial" w:hAnsi="Arial"/>
                <w:sz w:val="20"/>
                <w:szCs w:val="20"/>
              </w:rPr>
            </w:pPr>
            <w:r w:rsidRPr="007D70CD">
              <w:rPr>
                <w:rFonts w:ascii="Arial" w:hAnsi="Arial"/>
                <w:sz w:val="20"/>
                <w:szCs w:val="20"/>
              </w:rPr>
              <w:t>6.-</w:t>
            </w:r>
            <w:r w:rsidRPr="007D70CD">
              <w:rPr>
                <w:rFonts w:ascii="Arial" w:hAnsi="Arial" w:cs="Arial"/>
                <w:sz w:val="20"/>
                <w:szCs w:val="20"/>
              </w:rPr>
              <w:t xml:space="preserve"> Frecuencia con la que se inician fármacos </w:t>
            </w:r>
            <w:proofErr w:type="spellStart"/>
            <w:r w:rsidRPr="007D70CD">
              <w:rPr>
                <w:rFonts w:ascii="Arial" w:hAnsi="Arial" w:cs="Arial"/>
                <w:sz w:val="20"/>
                <w:szCs w:val="20"/>
              </w:rPr>
              <w:t>vasoactivos</w:t>
            </w:r>
            <w:proofErr w:type="spellEnd"/>
            <w:r w:rsidRPr="007D70CD">
              <w:rPr>
                <w:rFonts w:ascii="Arial" w:hAnsi="Arial" w:cs="Arial"/>
                <w:sz w:val="20"/>
                <w:szCs w:val="20"/>
              </w:rPr>
              <w:t xml:space="preserve"> antes de una endoscopia superior en sospecha de hemorragia de origen </w:t>
            </w:r>
            <w:proofErr w:type="spellStart"/>
            <w:r w:rsidRPr="007D70CD">
              <w:rPr>
                <w:rFonts w:ascii="Arial" w:hAnsi="Arial" w:cs="Arial"/>
                <w:sz w:val="20"/>
                <w:szCs w:val="20"/>
              </w:rPr>
              <w:t>variceal</w:t>
            </w:r>
            <w:proofErr w:type="spellEnd"/>
            <w:r w:rsidRPr="007D70CD">
              <w:rPr>
                <w:rFonts w:ascii="Arial" w:hAnsi="Arial" w:cs="Arial"/>
                <w:sz w:val="20"/>
                <w:szCs w:val="20"/>
              </w:rPr>
              <w:t xml:space="preserve">. </w:t>
            </w:r>
          </w:p>
        </w:tc>
        <w:tc>
          <w:tcPr>
            <w:tcW w:w="0" w:type="auto"/>
          </w:tcPr>
          <w:p w14:paraId="173B1D03" w14:textId="77777777" w:rsidR="00683F33" w:rsidRPr="00683F33" w:rsidRDefault="007D70CD">
            <w:pPr>
              <w:rPr>
                <w:rFonts w:ascii="Arial" w:hAnsi="Arial"/>
                <w:sz w:val="20"/>
                <w:szCs w:val="20"/>
              </w:rPr>
            </w:pPr>
            <w:r>
              <w:rPr>
                <w:rFonts w:ascii="Arial" w:hAnsi="Arial"/>
                <w:sz w:val="20"/>
                <w:szCs w:val="20"/>
              </w:rPr>
              <w:t xml:space="preserve">Proceso </w:t>
            </w:r>
          </w:p>
        </w:tc>
        <w:tc>
          <w:tcPr>
            <w:tcW w:w="0" w:type="auto"/>
          </w:tcPr>
          <w:p w14:paraId="51D4BEDA" w14:textId="77777777" w:rsidR="00683F33" w:rsidRPr="00683F33" w:rsidRDefault="007D70CD">
            <w:pPr>
              <w:rPr>
                <w:rFonts w:ascii="Arial" w:hAnsi="Arial"/>
                <w:sz w:val="20"/>
                <w:szCs w:val="20"/>
              </w:rPr>
            </w:pPr>
            <w:r>
              <w:rPr>
                <w:rFonts w:ascii="Arial" w:hAnsi="Arial"/>
                <w:sz w:val="20"/>
                <w:szCs w:val="20"/>
              </w:rPr>
              <w:t>&gt;98%</w:t>
            </w:r>
          </w:p>
        </w:tc>
      </w:tr>
      <w:tr w:rsidR="00683F33" w:rsidRPr="00683F33" w14:paraId="4F1C1CEA" w14:textId="77777777" w:rsidTr="009A51E3">
        <w:tc>
          <w:tcPr>
            <w:tcW w:w="0" w:type="auto"/>
          </w:tcPr>
          <w:p w14:paraId="4DBBD46B" w14:textId="77777777" w:rsidR="00683F33" w:rsidRPr="00683F33" w:rsidRDefault="007D70CD">
            <w:pPr>
              <w:rPr>
                <w:rFonts w:ascii="Arial" w:hAnsi="Arial"/>
                <w:sz w:val="20"/>
                <w:szCs w:val="20"/>
              </w:rPr>
            </w:pPr>
            <w:proofErr w:type="spellStart"/>
            <w:r>
              <w:rPr>
                <w:rFonts w:ascii="Arial" w:hAnsi="Arial"/>
                <w:sz w:val="20"/>
                <w:szCs w:val="20"/>
              </w:rPr>
              <w:t>Intraprocedimiento</w:t>
            </w:r>
            <w:proofErr w:type="spellEnd"/>
          </w:p>
        </w:tc>
        <w:tc>
          <w:tcPr>
            <w:tcW w:w="0" w:type="auto"/>
          </w:tcPr>
          <w:p w14:paraId="39D0DACC" w14:textId="77777777" w:rsidR="00683F33" w:rsidRPr="00683F33" w:rsidRDefault="007D70CD" w:rsidP="007D70CD">
            <w:pPr>
              <w:rPr>
                <w:rFonts w:ascii="Arial" w:hAnsi="Arial"/>
                <w:sz w:val="20"/>
                <w:szCs w:val="20"/>
              </w:rPr>
            </w:pPr>
            <w:r>
              <w:rPr>
                <w:rFonts w:ascii="Arial" w:hAnsi="Arial"/>
                <w:sz w:val="20"/>
                <w:szCs w:val="20"/>
              </w:rPr>
              <w:t>7.-</w:t>
            </w:r>
            <w:r w:rsidRPr="00683F33">
              <w:rPr>
                <w:rFonts w:ascii="Arial" w:hAnsi="Arial" w:cs="Arial"/>
              </w:rPr>
              <w:t xml:space="preserve"> </w:t>
            </w:r>
            <w:r w:rsidRPr="007D70CD">
              <w:rPr>
                <w:rFonts w:ascii="Arial" w:hAnsi="Arial" w:cs="Arial"/>
                <w:sz w:val="20"/>
                <w:szCs w:val="20"/>
              </w:rPr>
              <w:t>Frecuencia con la que se realiza un examen completo de esófago, estómago, duodeno, incluyendo la retroflexión en el estómago y esto es documentado</w:t>
            </w:r>
            <w:r w:rsidRPr="00683F33">
              <w:rPr>
                <w:rFonts w:ascii="Arial" w:hAnsi="Arial" w:cs="Arial"/>
              </w:rPr>
              <w:t xml:space="preserve">. </w:t>
            </w:r>
          </w:p>
        </w:tc>
        <w:tc>
          <w:tcPr>
            <w:tcW w:w="0" w:type="auto"/>
          </w:tcPr>
          <w:p w14:paraId="1C669A5B" w14:textId="77777777" w:rsidR="00683F33" w:rsidRPr="00683F33" w:rsidRDefault="007D70CD">
            <w:pPr>
              <w:rPr>
                <w:rFonts w:ascii="Arial" w:hAnsi="Arial"/>
                <w:sz w:val="20"/>
                <w:szCs w:val="20"/>
              </w:rPr>
            </w:pPr>
            <w:r>
              <w:rPr>
                <w:rFonts w:ascii="Arial" w:hAnsi="Arial"/>
                <w:sz w:val="20"/>
                <w:szCs w:val="20"/>
              </w:rPr>
              <w:t xml:space="preserve">Proceso </w:t>
            </w:r>
          </w:p>
        </w:tc>
        <w:tc>
          <w:tcPr>
            <w:tcW w:w="0" w:type="auto"/>
          </w:tcPr>
          <w:p w14:paraId="273C4B29" w14:textId="77777777" w:rsidR="00683F33" w:rsidRPr="00683F33" w:rsidRDefault="007D70CD">
            <w:pPr>
              <w:rPr>
                <w:rFonts w:ascii="Arial" w:hAnsi="Arial"/>
                <w:sz w:val="20"/>
                <w:szCs w:val="20"/>
              </w:rPr>
            </w:pPr>
            <w:r>
              <w:rPr>
                <w:rFonts w:ascii="Arial" w:hAnsi="Arial"/>
                <w:sz w:val="20"/>
                <w:szCs w:val="20"/>
              </w:rPr>
              <w:t>&gt;98%</w:t>
            </w:r>
          </w:p>
        </w:tc>
      </w:tr>
      <w:tr w:rsidR="007D70CD" w:rsidRPr="00683F33" w14:paraId="2AA8B31B" w14:textId="77777777" w:rsidTr="009A51E3">
        <w:tc>
          <w:tcPr>
            <w:tcW w:w="0" w:type="auto"/>
          </w:tcPr>
          <w:p w14:paraId="048E1F9E" w14:textId="77777777" w:rsidR="007D70CD" w:rsidRDefault="007D70CD">
            <w:pPr>
              <w:rPr>
                <w:rFonts w:ascii="Arial" w:hAnsi="Arial"/>
                <w:sz w:val="20"/>
                <w:szCs w:val="20"/>
              </w:rPr>
            </w:pPr>
          </w:p>
        </w:tc>
        <w:tc>
          <w:tcPr>
            <w:tcW w:w="0" w:type="auto"/>
          </w:tcPr>
          <w:p w14:paraId="5B5FA55F" w14:textId="77777777" w:rsidR="007D70CD" w:rsidRDefault="007D70CD" w:rsidP="007D70CD">
            <w:pPr>
              <w:rPr>
                <w:rFonts w:ascii="Arial" w:hAnsi="Arial"/>
                <w:sz w:val="20"/>
                <w:szCs w:val="20"/>
              </w:rPr>
            </w:pPr>
            <w:r>
              <w:rPr>
                <w:rFonts w:ascii="Arial" w:hAnsi="Arial" w:cs="Arial"/>
              </w:rPr>
              <w:t>8</w:t>
            </w:r>
            <w:r w:rsidRPr="007D70CD">
              <w:rPr>
                <w:rFonts w:ascii="Arial" w:hAnsi="Arial" w:cs="Arial"/>
                <w:sz w:val="20"/>
                <w:szCs w:val="20"/>
              </w:rPr>
              <w:t>.-Frecuencia con la que se realiza un examen completo de esófago, estómago, duodeno, incluyendo la retroflexión en el estómago y esto es documentado.</w:t>
            </w:r>
            <w:r w:rsidRPr="00683F33">
              <w:rPr>
                <w:rFonts w:ascii="Arial" w:hAnsi="Arial" w:cs="Arial"/>
              </w:rPr>
              <w:t xml:space="preserve"> </w:t>
            </w:r>
          </w:p>
        </w:tc>
        <w:tc>
          <w:tcPr>
            <w:tcW w:w="0" w:type="auto"/>
          </w:tcPr>
          <w:p w14:paraId="7F581775" w14:textId="77777777" w:rsidR="007D70CD" w:rsidRDefault="007D70CD">
            <w:pPr>
              <w:rPr>
                <w:rFonts w:ascii="Arial" w:hAnsi="Arial"/>
                <w:sz w:val="20"/>
                <w:szCs w:val="20"/>
              </w:rPr>
            </w:pPr>
            <w:r>
              <w:rPr>
                <w:rFonts w:ascii="Arial" w:hAnsi="Arial"/>
                <w:sz w:val="20"/>
                <w:szCs w:val="20"/>
              </w:rPr>
              <w:t xml:space="preserve">Proceso </w:t>
            </w:r>
          </w:p>
        </w:tc>
        <w:tc>
          <w:tcPr>
            <w:tcW w:w="0" w:type="auto"/>
          </w:tcPr>
          <w:p w14:paraId="7188DD8F" w14:textId="77777777" w:rsidR="007D70CD" w:rsidRDefault="007D70CD">
            <w:pPr>
              <w:rPr>
                <w:rFonts w:ascii="Arial" w:hAnsi="Arial"/>
                <w:sz w:val="20"/>
                <w:szCs w:val="20"/>
              </w:rPr>
            </w:pPr>
            <w:r>
              <w:rPr>
                <w:rFonts w:ascii="Arial" w:hAnsi="Arial"/>
                <w:sz w:val="20"/>
                <w:szCs w:val="20"/>
              </w:rPr>
              <w:t>&gt;98%</w:t>
            </w:r>
          </w:p>
        </w:tc>
      </w:tr>
      <w:tr w:rsidR="007D70CD" w:rsidRPr="00683F33" w14:paraId="669EE2AE" w14:textId="77777777" w:rsidTr="009A51E3">
        <w:tc>
          <w:tcPr>
            <w:tcW w:w="0" w:type="auto"/>
          </w:tcPr>
          <w:p w14:paraId="24EBEBE6" w14:textId="77777777" w:rsidR="007D70CD" w:rsidRDefault="007D70CD">
            <w:pPr>
              <w:rPr>
                <w:rFonts w:ascii="Arial" w:hAnsi="Arial"/>
                <w:sz w:val="20"/>
                <w:szCs w:val="20"/>
              </w:rPr>
            </w:pPr>
          </w:p>
        </w:tc>
        <w:tc>
          <w:tcPr>
            <w:tcW w:w="0" w:type="auto"/>
          </w:tcPr>
          <w:p w14:paraId="09C5AF46" w14:textId="77777777" w:rsidR="007D70CD" w:rsidRDefault="007D70CD" w:rsidP="007D70CD">
            <w:pPr>
              <w:rPr>
                <w:rFonts w:ascii="Arial" w:hAnsi="Arial"/>
                <w:sz w:val="20"/>
                <w:szCs w:val="20"/>
              </w:rPr>
            </w:pPr>
            <w:r w:rsidRPr="00683F33">
              <w:rPr>
                <w:rFonts w:ascii="Arial" w:hAnsi="Arial" w:cs="Arial"/>
              </w:rPr>
              <w:t xml:space="preserve">9.- </w:t>
            </w:r>
            <w:r w:rsidRPr="007D70CD">
              <w:rPr>
                <w:rFonts w:ascii="Arial" w:hAnsi="Arial" w:cs="Arial"/>
                <w:sz w:val="20"/>
                <w:szCs w:val="20"/>
              </w:rPr>
              <w:t>Frecuencia con la que el Esófago de Barrett se mide adecuadamente, cuando está presente</w:t>
            </w:r>
            <w:r>
              <w:rPr>
                <w:rFonts w:ascii="Arial" w:hAnsi="Arial" w:cs="Arial"/>
                <w:sz w:val="20"/>
                <w:szCs w:val="20"/>
              </w:rPr>
              <w:t>.</w:t>
            </w:r>
          </w:p>
        </w:tc>
        <w:tc>
          <w:tcPr>
            <w:tcW w:w="0" w:type="auto"/>
          </w:tcPr>
          <w:p w14:paraId="7FE1C64D" w14:textId="77777777" w:rsidR="007D70CD" w:rsidRDefault="007D70CD">
            <w:pPr>
              <w:rPr>
                <w:rFonts w:ascii="Arial" w:hAnsi="Arial"/>
                <w:sz w:val="20"/>
                <w:szCs w:val="20"/>
              </w:rPr>
            </w:pPr>
            <w:r>
              <w:rPr>
                <w:rFonts w:ascii="Arial" w:hAnsi="Arial"/>
                <w:sz w:val="20"/>
                <w:szCs w:val="20"/>
              </w:rPr>
              <w:t xml:space="preserve">Proceso </w:t>
            </w:r>
          </w:p>
        </w:tc>
        <w:tc>
          <w:tcPr>
            <w:tcW w:w="0" w:type="auto"/>
          </w:tcPr>
          <w:p w14:paraId="138168D1" w14:textId="77777777" w:rsidR="007D70CD" w:rsidRDefault="007D70CD">
            <w:pPr>
              <w:rPr>
                <w:rFonts w:ascii="Arial" w:hAnsi="Arial"/>
                <w:sz w:val="20"/>
                <w:szCs w:val="20"/>
              </w:rPr>
            </w:pPr>
            <w:r>
              <w:rPr>
                <w:rFonts w:ascii="Arial" w:hAnsi="Arial"/>
                <w:sz w:val="20"/>
                <w:szCs w:val="20"/>
              </w:rPr>
              <w:t>&gt;98%</w:t>
            </w:r>
          </w:p>
        </w:tc>
      </w:tr>
      <w:tr w:rsidR="007D70CD" w:rsidRPr="00683F33" w14:paraId="7FF264AD" w14:textId="77777777" w:rsidTr="009A51E3">
        <w:tc>
          <w:tcPr>
            <w:tcW w:w="0" w:type="auto"/>
          </w:tcPr>
          <w:p w14:paraId="786B155C" w14:textId="77777777" w:rsidR="007D70CD" w:rsidRDefault="007D70CD">
            <w:pPr>
              <w:rPr>
                <w:rFonts w:ascii="Arial" w:hAnsi="Arial"/>
                <w:sz w:val="20"/>
                <w:szCs w:val="20"/>
              </w:rPr>
            </w:pPr>
          </w:p>
        </w:tc>
        <w:tc>
          <w:tcPr>
            <w:tcW w:w="0" w:type="auto"/>
          </w:tcPr>
          <w:p w14:paraId="3F1F56B2" w14:textId="77777777" w:rsidR="007D70CD" w:rsidRDefault="007D70CD" w:rsidP="00DB1E52">
            <w:pPr>
              <w:rPr>
                <w:rFonts w:ascii="Arial" w:hAnsi="Arial"/>
                <w:sz w:val="20"/>
                <w:szCs w:val="20"/>
              </w:rPr>
            </w:pPr>
            <w:r>
              <w:rPr>
                <w:rFonts w:ascii="Arial" w:hAnsi="Arial"/>
                <w:sz w:val="20"/>
                <w:szCs w:val="20"/>
              </w:rPr>
              <w:t>10.-</w:t>
            </w:r>
            <w:r w:rsidRPr="00683F33">
              <w:rPr>
                <w:rFonts w:ascii="Arial" w:hAnsi="Arial" w:cs="Arial"/>
              </w:rPr>
              <w:t xml:space="preserve"> </w:t>
            </w:r>
            <w:r w:rsidR="00DB1E52" w:rsidRPr="00DB1E52">
              <w:rPr>
                <w:rFonts w:ascii="Arial" w:hAnsi="Arial" w:cs="Arial"/>
                <w:sz w:val="20"/>
                <w:szCs w:val="20"/>
              </w:rPr>
              <w:t>En sospecha de Esófago de Barrett se tomaron biopsias, de dicho sitio</w:t>
            </w:r>
          </w:p>
        </w:tc>
        <w:tc>
          <w:tcPr>
            <w:tcW w:w="0" w:type="auto"/>
          </w:tcPr>
          <w:p w14:paraId="304DB046" w14:textId="77777777" w:rsidR="007D70CD" w:rsidRDefault="007D70CD">
            <w:pPr>
              <w:rPr>
                <w:rFonts w:ascii="Arial" w:hAnsi="Arial"/>
                <w:sz w:val="20"/>
                <w:szCs w:val="20"/>
              </w:rPr>
            </w:pPr>
            <w:r>
              <w:rPr>
                <w:rFonts w:ascii="Arial" w:hAnsi="Arial"/>
                <w:sz w:val="20"/>
                <w:szCs w:val="20"/>
              </w:rPr>
              <w:t>Proceso</w:t>
            </w:r>
          </w:p>
        </w:tc>
        <w:tc>
          <w:tcPr>
            <w:tcW w:w="0" w:type="auto"/>
          </w:tcPr>
          <w:p w14:paraId="2F703D74" w14:textId="77777777" w:rsidR="007D70CD" w:rsidRDefault="007D70CD">
            <w:pPr>
              <w:rPr>
                <w:rFonts w:ascii="Arial" w:hAnsi="Arial"/>
                <w:sz w:val="20"/>
                <w:szCs w:val="20"/>
              </w:rPr>
            </w:pPr>
            <w:r>
              <w:rPr>
                <w:rFonts w:ascii="Arial" w:hAnsi="Arial"/>
                <w:sz w:val="20"/>
                <w:szCs w:val="20"/>
              </w:rPr>
              <w:t>&gt;98%</w:t>
            </w:r>
          </w:p>
        </w:tc>
      </w:tr>
      <w:tr w:rsidR="007D70CD" w:rsidRPr="00683F33" w14:paraId="15855A29" w14:textId="77777777" w:rsidTr="009A51E3">
        <w:tc>
          <w:tcPr>
            <w:tcW w:w="0" w:type="auto"/>
          </w:tcPr>
          <w:p w14:paraId="110D4360" w14:textId="77777777" w:rsidR="007D70CD" w:rsidRDefault="007D70CD">
            <w:pPr>
              <w:rPr>
                <w:rFonts w:ascii="Arial" w:hAnsi="Arial"/>
                <w:sz w:val="20"/>
                <w:szCs w:val="20"/>
              </w:rPr>
            </w:pPr>
          </w:p>
        </w:tc>
        <w:tc>
          <w:tcPr>
            <w:tcW w:w="0" w:type="auto"/>
          </w:tcPr>
          <w:p w14:paraId="44DE7D89" w14:textId="77777777" w:rsidR="007D70CD" w:rsidRPr="007D70CD" w:rsidRDefault="007D70CD" w:rsidP="007D70CD">
            <w:pPr>
              <w:jc w:val="both"/>
              <w:rPr>
                <w:rFonts w:ascii="Arial" w:hAnsi="Arial" w:cs="Arial"/>
              </w:rPr>
            </w:pPr>
            <w:r>
              <w:rPr>
                <w:rFonts w:ascii="Arial" w:hAnsi="Arial" w:cs="Arial"/>
              </w:rPr>
              <w:t>11.-</w:t>
            </w:r>
            <w:r w:rsidRPr="007D70CD">
              <w:rPr>
                <w:rFonts w:ascii="Arial" w:hAnsi="Arial" w:cs="Arial"/>
                <w:sz w:val="20"/>
                <w:szCs w:val="20"/>
              </w:rPr>
              <w:t>Frecuencia con la que se describe el tipo de sangrado gastrointestinal, su lesión y se documenta la localización.</w:t>
            </w:r>
          </w:p>
        </w:tc>
        <w:tc>
          <w:tcPr>
            <w:tcW w:w="0" w:type="auto"/>
          </w:tcPr>
          <w:p w14:paraId="2682CB6F" w14:textId="77777777" w:rsidR="007D70CD" w:rsidRDefault="007D70CD">
            <w:pPr>
              <w:rPr>
                <w:rFonts w:ascii="Arial" w:hAnsi="Arial"/>
                <w:sz w:val="20"/>
                <w:szCs w:val="20"/>
              </w:rPr>
            </w:pPr>
            <w:r>
              <w:rPr>
                <w:rFonts w:ascii="Arial" w:hAnsi="Arial"/>
                <w:sz w:val="20"/>
                <w:szCs w:val="20"/>
              </w:rPr>
              <w:t xml:space="preserve">Proceso </w:t>
            </w:r>
          </w:p>
        </w:tc>
        <w:tc>
          <w:tcPr>
            <w:tcW w:w="0" w:type="auto"/>
          </w:tcPr>
          <w:p w14:paraId="02C332ED" w14:textId="77777777" w:rsidR="007D70CD" w:rsidRDefault="007D70CD">
            <w:pPr>
              <w:rPr>
                <w:rFonts w:ascii="Arial" w:hAnsi="Arial"/>
                <w:sz w:val="20"/>
                <w:szCs w:val="20"/>
              </w:rPr>
            </w:pPr>
            <w:r>
              <w:rPr>
                <w:rFonts w:ascii="Arial" w:hAnsi="Arial"/>
                <w:sz w:val="20"/>
                <w:szCs w:val="20"/>
              </w:rPr>
              <w:t>&gt;80%</w:t>
            </w:r>
          </w:p>
        </w:tc>
      </w:tr>
      <w:tr w:rsidR="007D70CD" w:rsidRPr="00683F33" w14:paraId="57618C9B" w14:textId="77777777" w:rsidTr="009A51E3">
        <w:tc>
          <w:tcPr>
            <w:tcW w:w="0" w:type="auto"/>
          </w:tcPr>
          <w:p w14:paraId="37E082E1" w14:textId="77777777" w:rsidR="007D70CD" w:rsidRDefault="007D70CD">
            <w:pPr>
              <w:rPr>
                <w:rFonts w:ascii="Arial" w:hAnsi="Arial"/>
                <w:sz w:val="20"/>
                <w:szCs w:val="20"/>
              </w:rPr>
            </w:pPr>
          </w:p>
        </w:tc>
        <w:tc>
          <w:tcPr>
            <w:tcW w:w="0" w:type="auto"/>
          </w:tcPr>
          <w:p w14:paraId="3B09D41F" w14:textId="77777777" w:rsidR="007D70CD" w:rsidRDefault="007D70CD" w:rsidP="007D70CD">
            <w:pPr>
              <w:rPr>
                <w:rFonts w:ascii="Arial" w:hAnsi="Arial"/>
                <w:sz w:val="20"/>
                <w:szCs w:val="20"/>
              </w:rPr>
            </w:pPr>
            <w:r>
              <w:rPr>
                <w:rFonts w:ascii="Arial" w:hAnsi="Arial" w:cs="Arial"/>
              </w:rPr>
              <w:t>12.-</w:t>
            </w:r>
            <w:r w:rsidRPr="007D70CD">
              <w:rPr>
                <w:rFonts w:ascii="Arial" w:hAnsi="Arial" w:cs="Arial"/>
                <w:sz w:val="20"/>
                <w:szCs w:val="20"/>
              </w:rPr>
              <w:t xml:space="preserve">Frecuencia con la que durante la realización de la endoscopia superior, se observan úlceras pépticas, con al menos uno de los siguientes estigmas: hemorragia activa, vaso visible sin hemorragia (protuberancia pigmentada), coágulo adherido, mancha plana y base de fibrina limpia. </w:t>
            </w:r>
          </w:p>
        </w:tc>
        <w:tc>
          <w:tcPr>
            <w:tcW w:w="0" w:type="auto"/>
          </w:tcPr>
          <w:p w14:paraId="031B6FB3" w14:textId="77777777" w:rsidR="007D70CD" w:rsidRDefault="007D70CD">
            <w:pPr>
              <w:rPr>
                <w:rFonts w:ascii="Arial" w:hAnsi="Arial"/>
                <w:sz w:val="20"/>
                <w:szCs w:val="20"/>
              </w:rPr>
            </w:pPr>
            <w:r>
              <w:rPr>
                <w:rFonts w:ascii="Arial" w:hAnsi="Arial"/>
                <w:sz w:val="20"/>
                <w:szCs w:val="20"/>
              </w:rPr>
              <w:t xml:space="preserve">Proceso </w:t>
            </w:r>
          </w:p>
        </w:tc>
        <w:tc>
          <w:tcPr>
            <w:tcW w:w="0" w:type="auto"/>
          </w:tcPr>
          <w:p w14:paraId="4E98CF9D" w14:textId="77777777" w:rsidR="007D70CD" w:rsidRDefault="007D70CD">
            <w:pPr>
              <w:rPr>
                <w:rFonts w:ascii="Arial" w:hAnsi="Arial"/>
                <w:sz w:val="20"/>
                <w:szCs w:val="20"/>
              </w:rPr>
            </w:pPr>
            <w:r>
              <w:rPr>
                <w:rFonts w:ascii="Arial" w:hAnsi="Arial"/>
                <w:sz w:val="20"/>
                <w:szCs w:val="20"/>
              </w:rPr>
              <w:t>&gt;98%</w:t>
            </w:r>
          </w:p>
        </w:tc>
      </w:tr>
      <w:tr w:rsidR="007D70CD" w:rsidRPr="00683F33" w14:paraId="7FA5E669" w14:textId="77777777" w:rsidTr="009A51E3">
        <w:tc>
          <w:tcPr>
            <w:tcW w:w="0" w:type="auto"/>
          </w:tcPr>
          <w:p w14:paraId="545C0D98" w14:textId="77777777" w:rsidR="007D70CD" w:rsidRDefault="007D70CD">
            <w:pPr>
              <w:rPr>
                <w:rFonts w:ascii="Arial" w:hAnsi="Arial"/>
                <w:sz w:val="20"/>
                <w:szCs w:val="20"/>
              </w:rPr>
            </w:pPr>
          </w:p>
        </w:tc>
        <w:tc>
          <w:tcPr>
            <w:tcW w:w="0" w:type="auto"/>
          </w:tcPr>
          <w:p w14:paraId="6A8260A6" w14:textId="77777777" w:rsidR="007D70CD" w:rsidRPr="00683F33" w:rsidRDefault="007D70CD" w:rsidP="007D70CD">
            <w:pPr>
              <w:jc w:val="both"/>
              <w:rPr>
                <w:rFonts w:ascii="Arial" w:hAnsi="Arial" w:cs="Arial"/>
              </w:rPr>
            </w:pPr>
            <w:r>
              <w:rPr>
                <w:rFonts w:ascii="Arial" w:hAnsi="Arial"/>
                <w:sz w:val="20"/>
                <w:szCs w:val="20"/>
              </w:rPr>
              <w:t>13</w:t>
            </w:r>
            <w:r w:rsidRPr="007D70CD">
              <w:rPr>
                <w:rFonts w:ascii="Arial" w:hAnsi="Arial"/>
                <w:sz w:val="20"/>
                <w:szCs w:val="20"/>
              </w:rPr>
              <w:t>.-</w:t>
            </w:r>
            <w:r w:rsidRPr="007D70CD">
              <w:rPr>
                <w:rFonts w:ascii="Arial" w:hAnsi="Arial" w:cs="Arial"/>
                <w:sz w:val="20"/>
                <w:szCs w:val="20"/>
              </w:rPr>
              <w:t xml:space="preserve"> Frecuencia con la que durante la realización de la endoscopia superior, se observan úlceras pépticas, con al menos uno de los siguientes estigmas: hemorragia activa, vaso visible sin hemorragia (protuberancia pigmentada), coágulo adherido, mancha plana y base de fibrina limpia.</w:t>
            </w:r>
          </w:p>
          <w:p w14:paraId="26C2B7BE" w14:textId="77777777" w:rsidR="007D70CD" w:rsidRDefault="007D70CD" w:rsidP="007D70CD">
            <w:pPr>
              <w:jc w:val="both"/>
              <w:rPr>
                <w:rFonts w:ascii="Arial" w:hAnsi="Arial"/>
                <w:sz w:val="20"/>
                <w:szCs w:val="20"/>
              </w:rPr>
            </w:pPr>
          </w:p>
        </w:tc>
        <w:tc>
          <w:tcPr>
            <w:tcW w:w="0" w:type="auto"/>
          </w:tcPr>
          <w:p w14:paraId="170FBC08" w14:textId="77777777" w:rsidR="007D70CD" w:rsidRDefault="007D70CD">
            <w:pPr>
              <w:rPr>
                <w:rFonts w:ascii="Arial" w:hAnsi="Arial"/>
                <w:sz w:val="20"/>
                <w:szCs w:val="20"/>
              </w:rPr>
            </w:pPr>
            <w:r>
              <w:rPr>
                <w:rFonts w:ascii="Arial" w:hAnsi="Arial"/>
                <w:sz w:val="20"/>
                <w:szCs w:val="20"/>
              </w:rPr>
              <w:t xml:space="preserve">Proceso </w:t>
            </w:r>
          </w:p>
        </w:tc>
        <w:tc>
          <w:tcPr>
            <w:tcW w:w="0" w:type="auto"/>
          </w:tcPr>
          <w:p w14:paraId="51AD47BC" w14:textId="77777777" w:rsidR="007D70CD" w:rsidRDefault="007D70CD">
            <w:pPr>
              <w:rPr>
                <w:rFonts w:ascii="Arial" w:hAnsi="Arial"/>
                <w:sz w:val="20"/>
                <w:szCs w:val="20"/>
              </w:rPr>
            </w:pPr>
            <w:r>
              <w:rPr>
                <w:rFonts w:ascii="Arial" w:hAnsi="Arial"/>
                <w:sz w:val="20"/>
                <w:szCs w:val="20"/>
              </w:rPr>
              <w:t>&gt;98%</w:t>
            </w:r>
          </w:p>
        </w:tc>
      </w:tr>
      <w:tr w:rsidR="007D70CD" w:rsidRPr="00683F33" w14:paraId="3049203E" w14:textId="77777777" w:rsidTr="009A51E3">
        <w:tc>
          <w:tcPr>
            <w:tcW w:w="0" w:type="auto"/>
          </w:tcPr>
          <w:p w14:paraId="1A8558A9" w14:textId="77777777" w:rsidR="007D70CD" w:rsidRDefault="007D70CD">
            <w:pPr>
              <w:rPr>
                <w:rFonts w:ascii="Arial" w:hAnsi="Arial"/>
                <w:sz w:val="20"/>
                <w:szCs w:val="20"/>
              </w:rPr>
            </w:pPr>
          </w:p>
        </w:tc>
        <w:tc>
          <w:tcPr>
            <w:tcW w:w="0" w:type="auto"/>
          </w:tcPr>
          <w:p w14:paraId="08A71175" w14:textId="77777777" w:rsidR="007D70CD" w:rsidRPr="009A51E3" w:rsidRDefault="009A51E3" w:rsidP="007D70CD">
            <w:pPr>
              <w:jc w:val="both"/>
              <w:rPr>
                <w:rFonts w:ascii="Arial" w:hAnsi="Arial" w:cs="Arial"/>
              </w:rPr>
            </w:pPr>
            <w:r>
              <w:rPr>
                <w:rFonts w:ascii="Arial" w:hAnsi="Arial" w:cs="Arial"/>
              </w:rPr>
              <w:t>14</w:t>
            </w:r>
            <w:r w:rsidRPr="009A51E3">
              <w:rPr>
                <w:rFonts w:ascii="Arial" w:hAnsi="Arial" w:cs="Arial"/>
                <w:sz w:val="20"/>
                <w:szCs w:val="20"/>
              </w:rPr>
              <w:t>.-</w:t>
            </w:r>
            <w:r w:rsidR="007D70CD" w:rsidRPr="009A51E3">
              <w:rPr>
                <w:rFonts w:ascii="Arial" w:hAnsi="Arial" w:cs="Arial"/>
                <w:sz w:val="20"/>
                <w:szCs w:val="20"/>
              </w:rPr>
              <w:t xml:space="preserve">Frecuencia con la que durante la realización de la endoscopia superior, se observan úlceras pépticas, con al menos uno de los siguientes estigmas: hemorragia activa, vaso visible sin hemorragia (protuberancia pigmentada), coágulo adherido, mancha plana y base de fibrina limpia. </w:t>
            </w:r>
          </w:p>
        </w:tc>
        <w:tc>
          <w:tcPr>
            <w:tcW w:w="0" w:type="auto"/>
          </w:tcPr>
          <w:p w14:paraId="0C55629D" w14:textId="77777777" w:rsidR="007D70CD" w:rsidRDefault="007D70CD">
            <w:pPr>
              <w:rPr>
                <w:rFonts w:ascii="Arial" w:hAnsi="Arial"/>
                <w:sz w:val="20"/>
                <w:szCs w:val="20"/>
              </w:rPr>
            </w:pPr>
            <w:r>
              <w:rPr>
                <w:rFonts w:ascii="Arial" w:hAnsi="Arial"/>
                <w:sz w:val="20"/>
                <w:szCs w:val="20"/>
              </w:rPr>
              <w:t xml:space="preserve">Proceso </w:t>
            </w:r>
          </w:p>
        </w:tc>
        <w:tc>
          <w:tcPr>
            <w:tcW w:w="0" w:type="auto"/>
          </w:tcPr>
          <w:p w14:paraId="42B4E1D9" w14:textId="77777777" w:rsidR="007D70CD" w:rsidRDefault="007D70CD">
            <w:pPr>
              <w:rPr>
                <w:rFonts w:ascii="Arial" w:hAnsi="Arial"/>
                <w:sz w:val="20"/>
                <w:szCs w:val="20"/>
              </w:rPr>
            </w:pPr>
            <w:r>
              <w:rPr>
                <w:rFonts w:ascii="Arial" w:hAnsi="Arial"/>
                <w:sz w:val="20"/>
                <w:szCs w:val="20"/>
              </w:rPr>
              <w:t>&gt;98%</w:t>
            </w:r>
          </w:p>
        </w:tc>
      </w:tr>
      <w:tr w:rsidR="007D70CD" w:rsidRPr="00683F33" w14:paraId="7ECA3D38" w14:textId="77777777" w:rsidTr="009A51E3">
        <w:tc>
          <w:tcPr>
            <w:tcW w:w="0" w:type="auto"/>
          </w:tcPr>
          <w:p w14:paraId="0066BF46" w14:textId="77777777" w:rsidR="007D70CD" w:rsidRDefault="007D70CD">
            <w:pPr>
              <w:rPr>
                <w:rFonts w:ascii="Arial" w:hAnsi="Arial"/>
                <w:sz w:val="20"/>
                <w:szCs w:val="20"/>
              </w:rPr>
            </w:pPr>
          </w:p>
        </w:tc>
        <w:tc>
          <w:tcPr>
            <w:tcW w:w="0" w:type="auto"/>
          </w:tcPr>
          <w:p w14:paraId="00C47E41" w14:textId="77777777" w:rsidR="007D70CD" w:rsidRPr="009A51E3" w:rsidRDefault="009A51E3" w:rsidP="007D70CD">
            <w:pPr>
              <w:jc w:val="both"/>
              <w:rPr>
                <w:rFonts w:ascii="Arial" w:hAnsi="Arial" w:cs="Arial"/>
                <w:sz w:val="20"/>
                <w:szCs w:val="20"/>
              </w:rPr>
            </w:pPr>
            <w:r w:rsidRPr="009A51E3">
              <w:rPr>
                <w:rFonts w:ascii="Arial" w:hAnsi="Arial"/>
                <w:sz w:val="20"/>
                <w:szCs w:val="20"/>
              </w:rPr>
              <w:t>15.-</w:t>
            </w:r>
            <w:r w:rsidRPr="009A51E3">
              <w:rPr>
                <w:rFonts w:ascii="Arial" w:hAnsi="Arial" w:cs="Arial"/>
                <w:sz w:val="20"/>
                <w:szCs w:val="20"/>
              </w:rPr>
              <w:t>Frecuencia con la que una segunda modalidad de tratamiento es utilizada (por ejemplo, coagulación, clip endoscópico) cuando la inyección de epinefrina se utiliza para tratar hemorragia activa o vaso visible no sangrante, en pacientes con úlcera pépticas con hemorragia activa.</w:t>
            </w:r>
          </w:p>
        </w:tc>
        <w:tc>
          <w:tcPr>
            <w:tcW w:w="0" w:type="auto"/>
          </w:tcPr>
          <w:p w14:paraId="0D2C4255" w14:textId="77777777" w:rsidR="007D70CD" w:rsidRDefault="009A51E3">
            <w:pPr>
              <w:rPr>
                <w:rFonts w:ascii="Arial" w:hAnsi="Arial"/>
                <w:sz w:val="20"/>
                <w:szCs w:val="20"/>
              </w:rPr>
            </w:pPr>
            <w:r>
              <w:rPr>
                <w:rFonts w:ascii="Arial" w:hAnsi="Arial"/>
                <w:sz w:val="20"/>
                <w:szCs w:val="20"/>
              </w:rPr>
              <w:t xml:space="preserve">Proceso </w:t>
            </w:r>
          </w:p>
        </w:tc>
        <w:tc>
          <w:tcPr>
            <w:tcW w:w="0" w:type="auto"/>
          </w:tcPr>
          <w:p w14:paraId="75F97A00" w14:textId="77777777" w:rsidR="007D70CD" w:rsidRDefault="009A51E3">
            <w:pPr>
              <w:rPr>
                <w:rFonts w:ascii="Arial" w:hAnsi="Arial"/>
                <w:sz w:val="20"/>
                <w:szCs w:val="20"/>
              </w:rPr>
            </w:pPr>
            <w:r>
              <w:rPr>
                <w:rFonts w:ascii="Arial" w:hAnsi="Arial"/>
                <w:sz w:val="20"/>
                <w:szCs w:val="20"/>
              </w:rPr>
              <w:t>&gt;98%</w:t>
            </w:r>
          </w:p>
        </w:tc>
      </w:tr>
      <w:tr w:rsidR="007D70CD" w:rsidRPr="00683F33" w14:paraId="4079F8A8" w14:textId="77777777" w:rsidTr="009A51E3">
        <w:tc>
          <w:tcPr>
            <w:tcW w:w="0" w:type="auto"/>
          </w:tcPr>
          <w:p w14:paraId="2F9B8ADA" w14:textId="77777777" w:rsidR="007D70CD" w:rsidRDefault="007D70CD">
            <w:pPr>
              <w:rPr>
                <w:rFonts w:ascii="Arial" w:hAnsi="Arial"/>
                <w:sz w:val="20"/>
                <w:szCs w:val="20"/>
              </w:rPr>
            </w:pPr>
          </w:p>
        </w:tc>
        <w:tc>
          <w:tcPr>
            <w:tcW w:w="0" w:type="auto"/>
          </w:tcPr>
          <w:p w14:paraId="7D2A8A42" w14:textId="77777777" w:rsidR="007D70CD" w:rsidRDefault="009A51E3" w:rsidP="009A51E3">
            <w:pPr>
              <w:rPr>
                <w:rFonts w:ascii="Arial" w:hAnsi="Arial"/>
                <w:sz w:val="20"/>
                <w:szCs w:val="20"/>
              </w:rPr>
            </w:pPr>
            <w:r>
              <w:rPr>
                <w:rFonts w:ascii="Arial" w:hAnsi="Arial"/>
                <w:sz w:val="20"/>
                <w:szCs w:val="20"/>
              </w:rPr>
              <w:t>16.-</w:t>
            </w:r>
            <w:r w:rsidRPr="009A51E3">
              <w:rPr>
                <w:rFonts w:ascii="Arial" w:hAnsi="Arial" w:cs="Arial"/>
                <w:sz w:val="20"/>
                <w:szCs w:val="20"/>
              </w:rPr>
              <w:t xml:space="preserve"> Frecuencia con la que se utiliza la ligadura de varices como primera modalidad de tratamiento para el tratamiento endoscópico de varices esofágicas. </w:t>
            </w:r>
          </w:p>
        </w:tc>
        <w:tc>
          <w:tcPr>
            <w:tcW w:w="0" w:type="auto"/>
          </w:tcPr>
          <w:p w14:paraId="6407079A" w14:textId="77777777" w:rsidR="007D70CD" w:rsidRDefault="009A51E3">
            <w:pPr>
              <w:rPr>
                <w:rFonts w:ascii="Arial" w:hAnsi="Arial"/>
                <w:sz w:val="20"/>
                <w:szCs w:val="20"/>
              </w:rPr>
            </w:pPr>
            <w:r>
              <w:rPr>
                <w:rFonts w:ascii="Arial" w:hAnsi="Arial"/>
                <w:sz w:val="20"/>
                <w:szCs w:val="20"/>
              </w:rPr>
              <w:t>Proceso</w:t>
            </w:r>
          </w:p>
        </w:tc>
        <w:tc>
          <w:tcPr>
            <w:tcW w:w="0" w:type="auto"/>
          </w:tcPr>
          <w:p w14:paraId="7CBB8212" w14:textId="77777777" w:rsidR="007D70CD" w:rsidRDefault="009A51E3">
            <w:pPr>
              <w:rPr>
                <w:rFonts w:ascii="Arial" w:hAnsi="Arial"/>
                <w:sz w:val="20"/>
                <w:szCs w:val="20"/>
              </w:rPr>
            </w:pPr>
            <w:r>
              <w:rPr>
                <w:rFonts w:ascii="Arial" w:hAnsi="Arial"/>
                <w:sz w:val="20"/>
                <w:szCs w:val="20"/>
              </w:rPr>
              <w:t>&gt;98%</w:t>
            </w:r>
          </w:p>
        </w:tc>
      </w:tr>
      <w:tr w:rsidR="007D70CD" w:rsidRPr="00683F33" w14:paraId="4400E5C4" w14:textId="77777777" w:rsidTr="009A51E3">
        <w:tc>
          <w:tcPr>
            <w:tcW w:w="0" w:type="auto"/>
          </w:tcPr>
          <w:p w14:paraId="22451249" w14:textId="77777777" w:rsidR="007D70CD" w:rsidRDefault="007D70CD">
            <w:pPr>
              <w:rPr>
                <w:rFonts w:ascii="Arial" w:hAnsi="Arial"/>
                <w:sz w:val="20"/>
                <w:szCs w:val="20"/>
              </w:rPr>
            </w:pPr>
          </w:p>
        </w:tc>
        <w:tc>
          <w:tcPr>
            <w:tcW w:w="0" w:type="auto"/>
          </w:tcPr>
          <w:p w14:paraId="4EDB3869" w14:textId="77777777" w:rsidR="007D70CD" w:rsidRPr="009A51E3" w:rsidRDefault="009A51E3" w:rsidP="007D70CD">
            <w:pPr>
              <w:jc w:val="both"/>
              <w:rPr>
                <w:rFonts w:ascii="Arial" w:hAnsi="Arial" w:cs="Arial"/>
                <w:sz w:val="20"/>
                <w:szCs w:val="20"/>
              </w:rPr>
            </w:pPr>
            <w:r w:rsidRPr="009A51E3">
              <w:rPr>
                <w:rFonts w:ascii="Arial" w:hAnsi="Arial"/>
                <w:sz w:val="20"/>
                <w:szCs w:val="20"/>
              </w:rPr>
              <w:t>17.-</w:t>
            </w:r>
            <w:r w:rsidRPr="009A51E3">
              <w:rPr>
                <w:rFonts w:ascii="Arial" w:hAnsi="Arial" w:cs="Arial"/>
                <w:sz w:val="20"/>
                <w:szCs w:val="20"/>
              </w:rPr>
              <w:t xml:space="preserve"> Frecuencia con la que al menos se toman 4 biopsias de intestino delgado, en pacientes con sospecha de enfermedad celiaca.</w:t>
            </w:r>
          </w:p>
        </w:tc>
        <w:tc>
          <w:tcPr>
            <w:tcW w:w="0" w:type="auto"/>
          </w:tcPr>
          <w:p w14:paraId="4B0FEF55" w14:textId="77777777" w:rsidR="007D70CD" w:rsidRDefault="009A51E3">
            <w:pPr>
              <w:rPr>
                <w:rFonts w:ascii="Arial" w:hAnsi="Arial"/>
                <w:sz w:val="20"/>
                <w:szCs w:val="20"/>
              </w:rPr>
            </w:pPr>
            <w:r>
              <w:rPr>
                <w:rFonts w:ascii="Arial" w:hAnsi="Arial"/>
                <w:sz w:val="20"/>
                <w:szCs w:val="20"/>
              </w:rPr>
              <w:t xml:space="preserve">Proceso </w:t>
            </w:r>
          </w:p>
        </w:tc>
        <w:tc>
          <w:tcPr>
            <w:tcW w:w="0" w:type="auto"/>
          </w:tcPr>
          <w:p w14:paraId="3D5D6BE4" w14:textId="77777777" w:rsidR="007D70CD" w:rsidRDefault="009A51E3">
            <w:pPr>
              <w:rPr>
                <w:rFonts w:ascii="Arial" w:hAnsi="Arial"/>
                <w:sz w:val="20"/>
                <w:szCs w:val="20"/>
              </w:rPr>
            </w:pPr>
            <w:r>
              <w:rPr>
                <w:rFonts w:ascii="Arial" w:hAnsi="Arial"/>
                <w:sz w:val="20"/>
                <w:szCs w:val="20"/>
              </w:rPr>
              <w:t>&gt;90%</w:t>
            </w:r>
          </w:p>
        </w:tc>
      </w:tr>
      <w:tr w:rsidR="007D70CD" w:rsidRPr="00683F33" w14:paraId="7C100995" w14:textId="77777777" w:rsidTr="009A51E3">
        <w:tc>
          <w:tcPr>
            <w:tcW w:w="0" w:type="auto"/>
          </w:tcPr>
          <w:p w14:paraId="717B652B" w14:textId="77777777" w:rsidR="007D70CD" w:rsidRDefault="009A51E3">
            <w:pPr>
              <w:rPr>
                <w:rFonts w:ascii="Arial" w:hAnsi="Arial"/>
                <w:sz w:val="20"/>
                <w:szCs w:val="20"/>
              </w:rPr>
            </w:pPr>
            <w:r>
              <w:rPr>
                <w:rFonts w:ascii="Arial" w:hAnsi="Arial"/>
                <w:sz w:val="20"/>
                <w:szCs w:val="20"/>
              </w:rPr>
              <w:t>Post-Procedimiento</w:t>
            </w:r>
          </w:p>
        </w:tc>
        <w:tc>
          <w:tcPr>
            <w:tcW w:w="0" w:type="auto"/>
          </w:tcPr>
          <w:p w14:paraId="25E52213" w14:textId="77777777" w:rsidR="007D70CD" w:rsidRPr="009A51E3" w:rsidRDefault="009A51E3" w:rsidP="007D70CD">
            <w:pPr>
              <w:jc w:val="both"/>
              <w:rPr>
                <w:rFonts w:ascii="Arial" w:hAnsi="Arial" w:cs="Arial"/>
                <w:sz w:val="20"/>
                <w:szCs w:val="20"/>
              </w:rPr>
            </w:pPr>
            <w:r w:rsidRPr="009A51E3">
              <w:rPr>
                <w:rFonts w:ascii="Arial" w:hAnsi="Arial" w:cs="Arial"/>
                <w:sz w:val="20"/>
                <w:szCs w:val="20"/>
              </w:rPr>
              <w:t xml:space="preserve">18.- Frecuencia con la que se recomienda la terapia con IBP para pacientes que se sometieron a dilatación por estenosis esofágica péptica. </w:t>
            </w:r>
          </w:p>
        </w:tc>
        <w:tc>
          <w:tcPr>
            <w:tcW w:w="0" w:type="auto"/>
          </w:tcPr>
          <w:p w14:paraId="62590BB1" w14:textId="77777777" w:rsidR="007D70CD" w:rsidRDefault="009A51E3">
            <w:pPr>
              <w:rPr>
                <w:rFonts w:ascii="Arial" w:hAnsi="Arial"/>
                <w:sz w:val="20"/>
                <w:szCs w:val="20"/>
              </w:rPr>
            </w:pPr>
            <w:r>
              <w:rPr>
                <w:rFonts w:ascii="Arial" w:hAnsi="Arial"/>
                <w:sz w:val="20"/>
                <w:szCs w:val="20"/>
              </w:rPr>
              <w:t>Proceso</w:t>
            </w:r>
          </w:p>
        </w:tc>
        <w:tc>
          <w:tcPr>
            <w:tcW w:w="0" w:type="auto"/>
          </w:tcPr>
          <w:p w14:paraId="0D226882" w14:textId="77777777" w:rsidR="007D70CD" w:rsidRDefault="009A51E3">
            <w:pPr>
              <w:rPr>
                <w:rFonts w:ascii="Arial" w:hAnsi="Arial"/>
                <w:sz w:val="20"/>
                <w:szCs w:val="20"/>
              </w:rPr>
            </w:pPr>
            <w:r>
              <w:rPr>
                <w:rFonts w:ascii="Arial" w:hAnsi="Arial"/>
                <w:sz w:val="20"/>
                <w:szCs w:val="20"/>
              </w:rPr>
              <w:t>&gt;98%</w:t>
            </w:r>
          </w:p>
        </w:tc>
      </w:tr>
      <w:tr w:rsidR="007D70CD" w:rsidRPr="00683F33" w14:paraId="1EEA067A" w14:textId="77777777" w:rsidTr="009A51E3">
        <w:tc>
          <w:tcPr>
            <w:tcW w:w="0" w:type="auto"/>
          </w:tcPr>
          <w:p w14:paraId="0E4C887A" w14:textId="77777777" w:rsidR="007D70CD" w:rsidRDefault="007D70CD">
            <w:pPr>
              <w:rPr>
                <w:rFonts w:ascii="Arial" w:hAnsi="Arial"/>
                <w:sz w:val="20"/>
                <w:szCs w:val="20"/>
              </w:rPr>
            </w:pPr>
          </w:p>
        </w:tc>
        <w:tc>
          <w:tcPr>
            <w:tcW w:w="0" w:type="auto"/>
          </w:tcPr>
          <w:p w14:paraId="291C60CD" w14:textId="77777777" w:rsidR="007D70CD" w:rsidRDefault="009A51E3" w:rsidP="009A51E3">
            <w:pPr>
              <w:jc w:val="both"/>
              <w:rPr>
                <w:rFonts w:ascii="Arial" w:hAnsi="Arial"/>
                <w:sz w:val="20"/>
                <w:szCs w:val="20"/>
              </w:rPr>
            </w:pPr>
            <w:r>
              <w:rPr>
                <w:rFonts w:ascii="Arial" w:hAnsi="Arial" w:cs="Arial"/>
              </w:rPr>
              <w:t>19.-</w:t>
            </w:r>
            <w:r w:rsidRPr="009A51E3">
              <w:rPr>
                <w:rFonts w:ascii="Arial" w:hAnsi="Arial" w:cs="Arial"/>
                <w:sz w:val="20"/>
                <w:szCs w:val="20"/>
              </w:rPr>
              <w:t xml:space="preserve">Frecuencia con la que los pacientes diagnosticados con úlcera gástrica o duodenal son instruidos para tomar IBP o un antagonista de los receptores H2. </w:t>
            </w:r>
          </w:p>
        </w:tc>
        <w:tc>
          <w:tcPr>
            <w:tcW w:w="0" w:type="auto"/>
          </w:tcPr>
          <w:p w14:paraId="40BA5FF4" w14:textId="77777777" w:rsidR="007D70CD" w:rsidRDefault="009A51E3">
            <w:pPr>
              <w:rPr>
                <w:rFonts w:ascii="Arial" w:hAnsi="Arial"/>
                <w:sz w:val="20"/>
                <w:szCs w:val="20"/>
              </w:rPr>
            </w:pPr>
            <w:r>
              <w:rPr>
                <w:rFonts w:ascii="Arial" w:hAnsi="Arial"/>
                <w:sz w:val="20"/>
                <w:szCs w:val="20"/>
              </w:rPr>
              <w:t xml:space="preserve">Proceso </w:t>
            </w:r>
          </w:p>
        </w:tc>
        <w:tc>
          <w:tcPr>
            <w:tcW w:w="0" w:type="auto"/>
          </w:tcPr>
          <w:p w14:paraId="48FFF86B" w14:textId="77777777" w:rsidR="007D70CD" w:rsidRDefault="009A51E3">
            <w:pPr>
              <w:rPr>
                <w:rFonts w:ascii="Arial" w:hAnsi="Arial"/>
                <w:sz w:val="20"/>
                <w:szCs w:val="20"/>
              </w:rPr>
            </w:pPr>
            <w:r>
              <w:rPr>
                <w:rFonts w:ascii="Arial" w:hAnsi="Arial"/>
                <w:sz w:val="20"/>
                <w:szCs w:val="20"/>
              </w:rPr>
              <w:t>&gt;98%</w:t>
            </w:r>
          </w:p>
        </w:tc>
      </w:tr>
      <w:tr w:rsidR="007D70CD" w:rsidRPr="00683F33" w14:paraId="5481BFCF" w14:textId="77777777" w:rsidTr="009A51E3">
        <w:tc>
          <w:tcPr>
            <w:tcW w:w="0" w:type="auto"/>
          </w:tcPr>
          <w:p w14:paraId="1307357D" w14:textId="77777777" w:rsidR="007D70CD" w:rsidRDefault="007D70CD">
            <w:pPr>
              <w:rPr>
                <w:rFonts w:ascii="Arial" w:hAnsi="Arial"/>
                <w:sz w:val="20"/>
                <w:szCs w:val="20"/>
              </w:rPr>
            </w:pPr>
          </w:p>
        </w:tc>
        <w:tc>
          <w:tcPr>
            <w:tcW w:w="0" w:type="auto"/>
          </w:tcPr>
          <w:p w14:paraId="169BB49C" w14:textId="77777777" w:rsidR="007D70CD" w:rsidRPr="009A51E3" w:rsidRDefault="009A51E3" w:rsidP="007D70CD">
            <w:pPr>
              <w:jc w:val="both"/>
              <w:rPr>
                <w:rFonts w:ascii="Arial" w:hAnsi="Arial" w:cs="Arial"/>
              </w:rPr>
            </w:pPr>
            <w:r>
              <w:rPr>
                <w:rFonts w:ascii="Arial" w:hAnsi="Arial"/>
                <w:sz w:val="20"/>
                <w:szCs w:val="20"/>
              </w:rPr>
              <w:t>2</w:t>
            </w:r>
            <w:r w:rsidRPr="009A51E3">
              <w:rPr>
                <w:rFonts w:ascii="Arial" w:hAnsi="Arial"/>
                <w:sz w:val="20"/>
                <w:szCs w:val="20"/>
              </w:rPr>
              <w:t>0.-</w:t>
            </w:r>
            <w:r w:rsidRPr="009A51E3">
              <w:rPr>
                <w:rFonts w:ascii="Arial" w:hAnsi="Arial" w:cs="Arial"/>
                <w:sz w:val="20"/>
                <w:szCs w:val="20"/>
              </w:rPr>
              <w:t>Frecuencia con la que se planea evaluar infección por Helicobacter Pylori, en pacientes con diagnóstico de úlcera gástrica o duodenal y es documentado. (Indicador de prioridad).</w:t>
            </w:r>
          </w:p>
        </w:tc>
        <w:tc>
          <w:tcPr>
            <w:tcW w:w="0" w:type="auto"/>
          </w:tcPr>
          <w:p w14:paraId="6E6C80FD" w14:textId="77777777" w:rsidR="007D70CD" w:rsidRDefault="009A51E3">
            <w:pPr>
              <w:rPr>
                <w:rFonts w:ascii="Arial" w:hAnsi="Arial"/>
                <w:sz w:val="20"/>
                <w:szCs w:val="20"/>
              </w:rPr>
            </w:pPr>
            <w:r>
              <w:rPr>
                <w:rFonts w:ascii="Arial" w:hAnsi="Arial"/>
                <w:sz w:val="20"/>
                <w:szCs w:val="20"/>
              </w:rPr>
              <w:t xml:space="preserve">Proceso </w:t>
            </w:r>
          </w:p>
        </w:tc>
        <w:tc>
          <w:tcPr>
            <w:tcW w:w="0" w:type="auto"/>
          </w:tcPr>
          <w:p w14:paraId="539D4C37" w14:textId="77777777" w:rsidR="007D70CD" w:rsidRDefault="009A51E3">
            <w:pPr>
              <w:rPr>
                <w:rFonts w:ascii="Arial" w:hAnsi="Arial"/>
                <w:sz w:val="20"/>
                <w:szCs w:val="20"/>
              </w:rPr>
            </w:pPr>
            <w:r>
              <w:rPr>
                <w:rFonts w:ascii="Arial" w:hAnsi="Arial"/>
                <w:sz w:val="20"/>
                <w:szCs w:val="20"/>
              </w:rPr>
              <w:t>&gt;98%</w:t>
            </w:r>
          </w:p>
        </w:tc>
      </w:tr>
      <w:tr w:rsidR="007D70CD" w:rsidRPr="00683F33" w14:paraId="24237787" w14:textId="77777777" w:rsidTr="009A51E3">
        <w:tc>
          <w:tcPr>
            <w:tcW w:w="0" w:type="auto"/>
          </w:tcPr>
          <w:p w14:paraId="10A83C46" w14:textId="77777777" w:rsidR="007D70CD" w:rsidRDefault="007D70CD">
            <w:pPr>
              <w:rPr>
                <w:rFonts w:ascii="Arial" w:hAnsi="Arial"/>
                <w:sz w:val="20"/>
                <w:szCs w:val="20"/>
              </w:rPr>
            </w:pPr>
          </w:p>
        </w:tc>
        <w:tc>
          <w:tcPr>
            <w:tcW w:w="0" w:type="auto"/>
          </w:tcPr>
          <w:p w14:paraId="211CF544" w14:textId="77777777" w:rsidR="007D70CD" w:rsidRPr="009A51E3" w:rsidRDefault="009A51E3" w:rsidP="009A51E3">
            <w:pPr>
              <w:jc w:val="both"/>
              <w:rPr>
                <w:rFonts w:ascii="Arial" w:hAnsi="Arial"/>
                <w:sz w:val="20"/>
                <w:szCs w:val="20"/>
              </w:rPr>
            </w:pPr>
            <w:r w:rsidRPr="009A51E3">
              <w:rPr>
                <w:rFonts w:ascii="Arial" w:hAnsi="Arial" w:cs="Arial"/>
                <w:sz w:val="20"/>
                <w:szCs w:val="20"/>
              </w:rPr>
              <w:t xml:space="preserve">21.-Frecuencia con la que los pacientes con hemorragia recurrente secundaria a úlcera péptica después de tratamiento endoscópico, se someten a una nueva endoscopia. </w:t>
            </w:r>
          </w:p>
        </w:tc>
        <w:tc>
          <w:tcPr>
            <w:tcW w:w="0" w:type="auto"/>
          </w:tcPr>
          <w:p w14:paraId="6EF9EF24" w14:textId="77777777" w:rsidR="007D70CD" w:rsidRDefault="009A51E3">
            <w:pPr>
              <w:rPr>
                <w:rFonts w:ascii="Arial" w:hAnsi="Arial"/>
                <w:sz w:val="20"/>
                <w:szCs w:val="20"/>
              </w:rPr>
            </w:pPr>
            <w:r>
              <w:rPr>
                <w:rFonts w:ascii="Arial" w:hAnsi="Arial"/>
                <w:sz w:val="20"/>
                <w:szCs w:val="20"/>
              </w:rPr>
              <w:t xml:space="preserve">Proceso </w:t>
            </w:r>
          </w:p>
        </w:tc>
        <w:tc>
          <w:tcPr>
            <w:tcW w:w="0" w:type="auto"/>
          </w:tcPr>
          <w:p w14:paraId="05583630" w14:textId="77777777" w:rsidR="007D70CD" w:rsidRDefault="009A51E3">
            <w:pPr>
              <w:rPr>
                <w:rFonts w:ascii="Arial" w:hAnsi="Arial"/>
                <w:sz w:val="20"/>
                <w:szCs w:val="20"/>
              </w:rPr>
            </w:pPr>
            <w:r>
              <w:rPr>
                <w:rFonts w:ascii="Arial" w:hAnsi="Arial"/>
                <w:sz w:val="20"/>
                <w:szCs w:val="20"/>
              </w:rPr>
              <w:t>&gt;98%</w:t>
            </w:r>
          </w:p>
        </w:tc>
      </w:tr>
      <w:tr w:rsidR="007D70CD" w:rsidRPr="00683F33" w14:paraId="3CFAAFC0" w14:textId="77777777" w:rsidTr="009A51E3">
        <w:tc>
          <w:tcPr>
            <w:tcW w:w="0" w:type="auto"/>
          </w:tcPr>
          <w:p w14:paraId="7FAD3055" w14:textId="77777777" w:rsidR="007D70CD" w:rsidRDefault="007D70CD">
            <w:pPr>
              <w:rPr>
                <w:rFonts w:ascii="Arial" w:hAnsi="Arial"/>
                <w:sz w:val="20"/>
                <w:szCs w:val="20"/>
              </w:rPr>
            </w:pPr>
          </w:p>
        </w:tc>
        <w:tc>
          <w:tcPr>
            <w:tcW w:w="0" w:type="auto"/>
          </w:tcPr>
          <w:p w14:paraId="32243939" w14:textId="77777777" w:rsidR="007D70CD" w:rsidRDefault="009A51E3" w:rsidP="009A51E3">
            <w:pPr>
              <w:jc w:val="both"/>
              <w:rPr>
                <w:rFonts w:ascii="Arial" w:hAnsi="Arial"/>
                <w:sz w:val="20"/>
                <w:szCs w:val="20"/>
              </w:rPr>
            </w:pPr>
            <w:r>
              <w:rPr>
                <w:rFonts w:ascii="Arial" w:hAnsi="Arial"/>
                <w:sz w:val="20"/>
                <w:szCs w:val="20"/>
              </w:rPr>
              <w:t>22.-</w:t>
            </w:r>
            <w:r w:rsidRPr="00683F33">
              <w:rPr>
                <w:rFonts w:ascii="Arial" w:hAnsi="Arial" w:cs="Arial"/>
              </w:rPr>
              <w:t xml:space="preserve"> </w:t>
            </w:r>
            <w:r w:rsidRPr="009A51E3">
              <w:rPr>
                <w:rFonts w:ascii="Arial" w:hAnsi="Arial" w:cs="Arial"/>
                <w:sz w:val="20"/>
                <w:szCs w:val="20"/>
              </w:rPr>
              <w:t>Frecuencia con la que los pacientes son contactados para documentar la aparición de eventos adversos después de una endoscopia superior. Objetivo de rendimiento: no disponible.</w:t>
            </w:r>
            <w:r w:rsidRPr="00683F33">
              <w:rPr>
                <w:rFonts w:ascii="Arial" w:hAnsi="Arial" w:cs="Arial"/>
              </w:rPr>
              <w:t xml:space="preserve"> </w:t>
            </w:r>
          </w:p>
        </w:tc>
        <w:tc>
          <w:tcPr>
            <w:tcW w:w="0" w:type="auto"/>
          </w:tcPr>
          <w:p w14:paraId="32B3FB6D" w14:textId="77777777" w:rsidR="007D70CD" w:rsidRDefault="009A51E3">
            <w:pPr>
              <w:rPr>
                <w:rFonts w:ascii="Arial" w:hAnsi="Arial"/>
                <w:sz w:val="20"/>
                <w:szCs w:val="20"/>
              </w:rPr>
            </w:pPr>
            <w:r>
              <w:rPr>
                <w:rFonts w:ascii="Arial" w:hAnsi="Arial"/>
                <w:sz w:val="20"/>
                <w:szCs w:val="20"/>
              </w:rPr>
              <w:t xml:space="preserve">Proceso </w:t>
            </w:r>
          </w:p>
        </w:tc>
        <w:tc>
          <w:tcPr>
            <w:tcW w:w="0" w:type="auto"/>
          </w:tcPr>
          <w:p w14:paraId="3DC15585" w14:textId="77777777" w:rsidR="007D70CD" w:rsidRDefault="007D70CD">
            <w:pPr>
              <w:rPr>
                <w:rFonts w:ascii="Arial" w:hAnsi="Arial"/>
                <w:sz w:val="20"/>
                <w:szCs w:val="20"/>
              </w:rPr>
            </w:pPr>
          </w:p>
        </w:tc>
      </w:tr>
    </w:tbl>
    <w:p w14:paraId="783529D2" w14:textId="77777777" w:rsidR="009A51E3" w:rsidRDefault="009A51E3">
      <w:pPr>
        <w:rPr>
          <w:rFonts w:ascii="Arial" w:hAnsi="Arial"/>
        </w:rPr>
      </w:pPr>
    </w:p>
    <w:p w14:paraId="2A924BA9" w14:textId="77777777" w:rsidR="009A51E3" w:rsidRDefault="00683F33">
      <w:pPr>
        <w:rPr>
          <w:rFonts w:ascii="Arial" w:hAnsi="Arial"/>
        </w:rPr>
      </w:pPr>
      <w:r>
        <w:rPr>
          <w:rFonts w:ascii="Arial" w:hAnsi="Arial"/>
        </w:rPr>
        <w:t>Tab</w:t>
      </w:r>
      <w:r w:rsidR="007D70CD">
        <w:rPr>
          <w:rFonts w:ascii="Arial" w:hAnsi="Arial"/>
        </w:rPr>
        <w:t>la 2: Resultados de los indicad</w:t>
      </w:r>
      <w:r>
        <w:rPr>
          <w:rFonts w:ascii="Arial" w:hAnsi="Arial"/>
        </w:rPr>
        <w:t>ores de calidad en Hospital General Dr</w:t>
      </w:r>
      <w:r w:rsidR="007D70CD">
        <w:rPr>
          <w:rFonts w:ascii="Arial" w:hAnsi="Arial"/>
        </w:rPr>
        <w:t>.</w:t>
      </w:r>
      <w:r>
        <w:rPr>
          <w:rFonts w:ascii="Arial" w:hAnsi="Arial"/>
        </w:rPr>
        <w:t xml:space="preserve"> Manuel Gea González. </w:t>
      </w:r>
    </w:p>
    <w:p w14:paraId="496D5B4D" w14:textId="77777777" w:rsidR="009A51E3" w:rsidRDefault="009A51E3">
      <w:pPr>
        <w:rPr>
          <w:rFonts w:ascii="Arial" w:hAnsi="Arial"/>
        </w:rPr>
      </w:pPr>
    </w:p>
    <w:p w14:paraId="035468B3" w14:textId="77777777" w:rsidR="0020597A" w:rsidRDefault="0020597A">
      <w:pPr>
        <w:rPr>
          <w:rFonts w:ascii="Arial" w:hAnsi="Arial"/>
        </w:rPr>
      </w:pPr>
      <w:r>
        <w:rPr>
          <w:rFonts w:ascii="Arial" w:hAnsi="Arial"/>
        </w:rPr>
        <w:t xml:space="preserve"> </w:t>
      </w:r>
    </w:p>
    <w:tbl>
      <w:tblPr>
        <w:tblStyle w:val="Tablaconcuadrcula"/>
        <w:tblW w:w="0" w:type="auto"/>
        <w:tblInd w:w="756" w:type="dxa"/>
        <w:tblLook w:val="0420" w:firstRow="1" w:lastRow="0" w:firstColumn="0" w:lastColumn="0" w:noHBand="0" w:noVBand="1"/>
      </w:tblPr>
      <w:tblGrid>
        <w:gridCol w:w="2622"/>
        <w:gridCol w:w="2691"/>
        <w:gridCol w:w="2585"/>
      </w:tblGrid>
      <w:tr w:rsidR="0020597A" w:rsidRPr="00DC6A49" w14:paraId="5DF46AF3" w14:textId="77777777" w:rsidTr="009A51E3">
        <w:trPr>
          <w:trHeight w:val="593"/>
        </w:trPr>
        <w:tc>
          <w:tcPr>
            <w:tcW w:w="0" w:type="auto"/>
            <w:gridSpan w:val="3"/>
          </w:tcPr>
          <w:p w14:paraId="584158B1" w14:textId="77777777" w:rsidR="0020597A" w:rsidRPr="009A51E3" w:rsidRDefault="0020597A" w:rsidP="0020597A">
            <w:pPr>
              <w:tabs>
                <w:tab w:val="left" w:pos="3333"/>
              </w:tabs>
              <w:rPr>
                <w:rFonts w:ascii="Arial" w:hAnsi="Arial" w:cs="Arial"/>
                <w:b/>
                <w:bCs/>
              </w:rPr>
            </w:pPr>
            <w:r w:rsidRPr="009A51E3">
              <w:rPr>
                <w:rFonts w:ascii="Arial" w:hAnsi="Arial" w:cs="Arial"/>
                <w:b/>
                <w:bCs/>
              </w:rPr>
              <w:t>INDICADORES DE CALIDAD (ENUMERADOS SEGÚN GUIAS ASGE)</w:t>
            </w:r>
          </w:p>
        </w:tc>
      </w:tr>
      <w:tr w:rsidR="0020597A" w:rsidRPr="00DC6A49" w14:paraId="0EFE17F5" w14:textId="77777777" w:rsidTr="009A51E3">
        <w:trPr>
          <w:trHeight w:val="593"/>
        </w:trPr>
        <w:tc>
          <w:tcPr>
            <w:tcW w:w="0" w:type="auto"/>
            <w:hideMark/>
          </w:tcPr>
          <w:p w14:paraId="04B7C54C" w14:textId="77777777" w:rsidR="0020597A" w:rsidRPr="009A51E3" w:rsidRDefault="0020597A" w:rsidP="0020597A">
            <w:pPr>
              <w:rPr>
                <w:rFonts w:ascii="Arial" w:hAnsi="Arial" w:cs="Arial"/>
              </w:rPr>
            </w:pPr>
            <w:r w:rsidRPr="009A51E3">
              <w:rPr>
                <w:rFonts w:ascii="Arial" w:hAnsi="Arial" w:cs="Arial"/>
                <w:b/>
                <w:bCs/>
              </w:rPr>
              <w:t>Pre-Procedimiento</w:t>
            </w:r>
          </w:p>
        </w:tc>
        <w:tc>
          <w:tcPr>
            <w:tcW w:w="0" w:type="auto"/>
            <w:hideMark/>
          </w:tcPr>
          <w:p w14:paraId="19189FFF" w14:textId="77777777" w:rsidR="0020597A" w:rsidRPr="009A51E3" w:rsidRDefault="0020597A" w:rsidP="0020597A">
            <w:pPr>
              <w:rPr>
                <w:rFonts w:ascii="Arial" w:hAnsi="Arial" w:cs="Arial"/>
              </w:rPr>
            </w:pPr>
            <w:proofErr w:type="spellStart"/>
            <w:r w:rsidRPr="009A51E3">
              <w:rPr>
                <w:rFonts w:ascii="Arial" w:hAnsi="Arial" w:cs="Arial"/>
                <w:b/>
                <w:bCs/>
              </w:rPr>
              <w:t>Intra</w:t>
            </w:r>
            <w:proofErr w:type="spellEnd"/>
            <w:r w:rsidRPr="009A51E3">
              <w:rPr>
                <w:rFonts w:ascii="Arial" w:hAnsi="Arial" w:cs="Arial"/>
                <w:b/>
                <w:bCs/>
              </w:rPr>
              <w:t>-Procedimiento</w:t>
            </w:r>
          </w:p>
        </w:tc>
        <w:tc>
          <w:tcPr>
            <w:tcW w:w="0" w:type="auto"/>
            <w:hideMark/>
          </w:tcPr>
          <w:p w14:paraId="60BEB3A1" w14:textId="77777777" w:rsidR="0020597A" w:rsidRPr="009A51E3" w:rsidRDefault="0020597A" w:rsidP="0020597A">
            <w:pPr>
              <w:tabs>
                <w:tab w:val="left" w:pos="3333"/>
              </w:tabs>
              <w:rPr>
                <w:rFonts w:ascii="Arial" w:hAnsi="Arial" w:cs="Arial"/>
              </w:rPr>
            </w:pPr>
            <w:r w:rsidRPr="009A51E3">
              <w:rPr>
                <w:rFonts w:ascii="Arial" w:hAnsi="Arial" w:cs="Arial"/>
                <w:b/>
                <w:bCs/>
              </w:rPr>
              <w:t>Post-Procedimiento</w:t>
            </w:r>
          </w:p>
        </w:tc>
      </w:tr>
      <w:tr w:rsidR="0020597A" w:rsidRPr="00DC6A49" w14:paraId="167A41B7" w14:textId="77777777" w:rsidTr="009A51E3">
        <w:trPr>
          <w:trHeight w:val="394"/>
        </w:trPr>
        <w:tc>
          <w:tcPr>
            <w:tcW w:w="0" w:type="auto"/>
            <w:hideMark/>
          </w:tcPr>
          <w:p w14:paraId="44E9DE22" w14:textId="77777777" w:rsidR="0020597A" w:rsidRPr="009A51E3" w:rsidRDefault="0020597A" w:rsidP="0020597A">
            <w:pPr>
              <w:rPr>
                <w:rFonts w:ascii="Arial" w:hAnsi="Arial" w:cs="Arial"/>
              </w:rPr>
            </w:pPr>
            <w:r w:rsidRPr="009A51E3">
              <w:rPr>
                <w:rFonts w:ascii="Arial" w:hAnsi="Arial" w:cs="Arial"/>
              </w:rPr>
              <w:t>1.   99.7%         &gt;80%</w:t>
            </w:r>
          </w:p>
        </w:tc>
        <w:tc>
          <w:tcPr>
            <w:tcW w:w="0" w:type="auto"/>
            <w:hideMark/>
          </w:tcPr>
          <w:p w14:paraId="5AFB86CE" w14:textId="77777777" w:rsidR="0020597A" w:rsidRPr="009A51E3" w:rsidRDefault="0020597A" w:rsidP="0020597A">
            <w:pPr>
              <w:rPr>
                <w:rFonts w:ascii="Arial" w:hAnsi="Arial" w:cs="Arial"/>
              </w:rPr>
            </w:pPr>
            <w:r w:rsidRPr="009A51E3">
              <w:rPr>
                <w:rFonts w:ascii="Arial" w:hAnsi="Arial" w:cs="Arial"/>
              </w:rPr>
              <w:t>7.   97.7%         &gt;98%</w:t>
            </w:r>
          </w:p>
        </w:tc>
        <w:tc>
          <w:tcPr>
            <w:tcW w:w="0" w:type="auto"/>
            <w:hideMark/>
          </w:tcPr>
          <w:p w14:paraId="7E6F7F79" w14:textId="77777777" w:rsidR="0020597A" w:rsidRPr="009A51E3" w:rsidRDefault="0020597A" w:rsidP="0020597A">
            <w:pPr>
              <w:rPr>
                <w:rFonts w:ascii="Arial" w:hAnsi="Arial" w:cs="Arial"/>
              </w:rPr>
            </w:pPr>
            <w:r w:rsidRPr="009A51E3">
              <w:rPr>
                <w:rFonts w:ascii="Arial" w:hAnsi="Arial" w:cs="Arial"/>
              </w:rPr>
              <w:t>18. 100%         &gt;98%</w:t>
            </w:r>
          </w:p>
        </w:tc>
      </w:tr>
      <w:tr w:rsidR="0020597A" w:rsidRPr="00DC6A49" w14:paraId="0FFFE167" w14:textId="77777777" w:rsidTr="009A51E3">
        <w:trPr>
          <w:trHeight w:val="511"/>
        </w:trPr>
        <w:tc>
          <w:tcPr>
            <w:tcW w:w="0" w:type="auto"/>
            <w:hideMark/>
          </w:tcPr>
          <w:p w14:paraId="6B37CD97" w14:textId="77777777" w:rsidR="0020597A" w:rsidRPr="009A51E3" w:rsidRDefault="0020597A" w:rsidP="0020597A">
            <w:pPr>
              <w:rPr>
                <w:rFonts w:ascii="Arial" w:hAnsi="Arial" w:cs="Arial"/>
              </w:rPr>
            </w:pPr>
            <w:r w:rsidRPr="009A51E3">
              <w:rPr>
                <w:rFonts w:ascii="Arial" w:hAnsi="Arial" w:cs="Arial"/>
              </w:rPr>
              <w:t>2. 100   %         &gt;98%</w:t>
            </w:r>
          </w:p>
        </w:tc>
        <w:tc>
          <w:tcPr>
            <w:tcW w:w="0" w:type="auto"/>
            <w:hideMark/>
          </w:tcPr>
          <w:p w14:paraId="56D6F7F7" w14:textId="77777777" w:rsidR="0020597A" w:rsidRPr="009A51E3" w:rsidRDefault="0020597A" w:rsidP="0020597A">
            <w:pPr>
              <w:rPr>
                <w:rFonts w:ascii="Arial" w:hAnsi="Arial" w:cs="Arial"/>
              </w:rPr>
            </w:pPr>
            <w:r w:rsidRPr="009A51E3">
              <w:rPr>
                <w:rFonts w:ascii="Arial" w:hAnsi="Arial" w:cs="Arial"/>
              </w:rPr>
              <w:t>8.   55.6%         &gt;80%</w:t>
            </w:r>
          </w:p>
        </w:tc>
        <w:tc>
          <w:tcPr>
            <w:tcW w:w="0" w:type="auto"/>
            <w:hideMark/>
          </w:tcPr>
          <w:p w14:paraId="0FF39DF8" w14:textId="77777777" w:rsidR="0020597A" w:rsidRPr="009A51E3" w:rsidRDefault="0020597A" w:rsidP="0020597A">
            <w:pPr>
              <w:rPr>
                <w:rFonts w:ascii="Arial" w:hAnsi="Arial" w:cs="Arial"/>
              </w:rPr>
            </w:pPr>
            <w:r w:rsidRPr="009A51E3">
              <w:rPr>
                <w:rFonts w:ascii="Arial" w:hAnsi="Arial" w:cs="Arial"/>
              </w:rPr>
              <w:t>19. 100%         &gt;98%</w:t>
            </w:r>
          </w:p>
        </w:tc>
      </w:tr>
      <w:tr w:rsidR="0020597A" w:rsidRPr="00DC6A49" w14:paraId="27EA3D82" w14:textId="77777777" w:rsidTr="009A51E3">
        <w:trPr>
          <w:trHeight w:val="535"/>
        </w:trPr>
        <w:tc>
          <w:tcPr>
            <w:tcW w:w="0" w:type="auto"/>
            <w:hideMark/>
          </w:tcPr>
          <w:p w14:paraId="6676E9A2" w14:textId="77777777" w:rsidR="0020597A" w:rsidRPr="009A51E3" w:rsidRDefault="0020597A" w:rsidP="0020597A">
            <w:pPr>
              <w:rPr>
                <w:rFonts w:ascii="Arial" w:hAnsi="Arial" w:cs="Arial"/>
              </w:rPr>
            </w:pPr>
            <w:r w:rsidRPr="009A51E3">
              <w:rPr>
                <w:rFonts w:ascii="Arial" w:hAnsi="Arial" w:cs="Arial"/>
              </w:rPr>
              <w:t>3.   86.7%         &gt;98%</w:t>
            </w:r>
          </w:p>
        </w:tc>
        <w:tc>
          <w:tcPr>
            <w:tcW w:w="0" w:type="auto"/>
            <w:hideMark/>
          </w:tcPr>
          <w:p w14:paraId="7AEDD50C" w14:textId="77777777" w:rsidR="0020597A" w:rsidRPr="009A51E3" w:rsidRDefault="0020597A" w:rsidP="0020597A">
            <w:pPr>
              <w:rPr>
                <w:rFonts w:ascii="Arial" w:hAnsi="Arial" w:cs="Arial"/>
              </w:rPr>
            </w:pPr>
            <w:r w:rsidRPr="009A51E3">
              <w:rPr>
                <w:rFonts w:ascii="Arial" w:hAnsi="Arial" w:cs="Arial"/>
              </w:rPr>
              <w:t>9.   80.0%         &gt;98%</w:t>
            </w:r>
          </w:p>
        </w:tc>
        <w:tc>
          <w:tcPr>
            <w:tcW w:w="0" w:type="auto"/>
            <w:hideMark/>
          </w:tcPr>
          <w:p w14:paraId="11132E77" w14:textId="77777777" w:rsidR="0020597A" w:rsidRPr="009A51E3" w:rsidRDefault="0020597A" w:rsidP="0020597A">
            <w:pPr>
              <w:tabs>
                <w:tab w:val="center" w:pos="5857"/>
              </w:tabs>
              <w:rPr>
                <w:rFonts w:ascii="Arial" w:hAnsi="Arial" w:cs="Arial"/>
              </w:rPr>
            </w:pPr>
            <w:r w:rsidRPr="009A51E3">
              <w:rPr>
                <w:rFonts w:ascii="Arial" w:hAnsi="Arial" w:cs="Arial"/>
              </w:rPr>
              <w:t>20. 60.6%        &gt;98%</w:t>
            </w:r>
          </w:p>
        </w:tc>
      </w:tr>
      <w:tr w:rsidR="0020597A" w:rsidRPr="00DC6A49" w14:paraId="34DEDD90" w14:textId="77777777" w:rsidTr="009A51E3">
        <w:trPr>
          <w:trHeight w:val="517"/>
        </w:trPr>
        <w:tc>
          <w:tcPr>
            <w:tcW w:w="0" w:type="auto"/>
            <w:hideMark/>
          </w:tcPr>
          <w:p w14:paraId="6046797E" w14:textId="77777777" w:rsidR="0020597A" w:rsidRPr="009A51E3" w:rsidRDefault="0020597A" w:rsidP="0020597A">
            <w:pPr>
              <w:rPr>
                <w:rFonts w:ascii="Arial" w:hAnsi="Arial" w:cs="Arial"/>
              </w:rPr>
            </w:pPr>
            <w:r w:rsidRPr="009A51E3">
              <w:rPr>
                <w:rFonts w:ascii="Arial" w:hAnsi="Arial" w:cs="Arial"/>
              </w:rPr>
              <w:t>4.  100  %         &gt;98%</w:t>
            </w:r>
          </w:p>
        </w:tc>
        <w:tc>
          <w:tcPr>
            <w:tcW w:w="0" w:type="auto"/>
            <w:hideMark/>
          </w:tcPr>
          <w:p w14:paraId="0AAFCBBD" w14:textId="77777777" w:rsidR="0020597A" w:rsidRPr="009A51E3" w:rsidRDefault="0020597A" w:rsidP="0020597A">
            <w:pPr>
              <w:rPr>
                <w:rFonts w:ascii="Arial" w:hAnsi="Arial" w:cs="Arial"/>
              </w:rPr>
            </w:pPr>
            <w:r w:rsidRPr="009A51E3">
              <w:rPr>
                <w:rFonts w:ascii="Arial" w:hAnsi="Arial" w:cs="Arial"/>
              </w:rPr>
              <w:t>10. 80.0%        &gt;90%</w:t>
            </w:r>
          </w:p>
        </w:tc>
        <w:tc>
          <w:tcPr>
            <w:tcW w:w="0" w:type="auto"/>
            <w:hideMark/>
          </w:tcPr>
          <w:p w14:paraId="1527D9E5" w14:textId="77777777" w:rsidR="0020597A" w:rsidRPr="009A51E3" w:rsidRDefault="0020597A" w:rsidP="0020597A">
            <w:pPr>
              <w:rPr>
                <w:rFonts w:ascii="Arial" w:hAnsi="Arial" w:cs="Arial"/>
              </w:rPr>
            </w:pPr>
            <w:r w:rsidRPr="009A51E3">
              <w:rPr>
                <w:rFonts w:ascii="Arial" w:hAnsi="Arial" w:cs="Arial"/>
              </w:rPr>
              <w:t>21. 100%         &gt;98%</w:t>
            </w:r>
          </w:p>
        </w:tc>
      </w:tr>
      <w:tr w:rsidR="0020597A" w:rsidRPr="00DC6A49" w14:paraId="5F638F7D" w14:textId="77777777" w:rsidTr="009A51E3">
        <w:trPr>
          <w:trHeight w:val="512"/>
        </w:trPr>
        <w:tc>
          <w:tcPr>
            <w:tcW w:w="0" w:type="auto"/>
            <w:hideMark/>
          </w:tcPr>
          <w:p w14:paraId="64E6C011" w14:textId="77777777" w:rsidR="0020597A" w:rsidRPr="009A51E3" w:rsidRDefault="0020597A" w:rsidP="0020597A">
            <w:pPr>
              <w:rPr>
                <w:rFonts w:ascii="Arial" w:hAnsi="Arial" w:cs="Arial"/>
              </w:rPr>
            </w:pPr>
            <w:r w:rsidRPr="009A51E3">
              <w:rPr>
                <w:rFonts w:ascii="Arial" w:hAnsi="Arial" w:cs="Arial"/>
              </w:rPr>
              <w:t>5.  100  %         &gt;98%</w:t>
            </w:r>
          </w:p>
        </w:tc>
        <w:tc>
          <w:tcPr>
            <w:tcW w:w="0" w:type="auto"/>
            <w:hideMark/>
          </w:tcPr>
          <w:p w14:paraId="03633574" w14:textId="77777777" w:rsidR="0020597A" w:rsidRPr="009A51E3" w:rsidRDefault="0020597A" w:rsidP="0020597A">
            <w:pPr>
              <w:rPr>
                <w:rFonts w:ascii="Arial" w:hAnsi="Arial" w:cs="Arial"/>
              </w:rPr>
            </w:pPr>
            <w:r w:rsidRPr="009A51E3">
              <w:rPr>
                <w:rFonts w:ascii="Arial" w:hAnsi="Arial" w:cs="Arial"/>
              </w:rPr>
              <w:t>11. 98.0%        &gt;80%</w:t>
            </w:r>
          </w:p>
        </w:tc>
        <w:tc>
          <w:tcPr>
            <w:tcW w:w="0" w:type="auto"/>
            <w:hideMark/>
          </w:tcPr>
          <w:p w14:paraId="10065E7D" w14:textId="77777777" w:rsidR="0020597A" w:rsidRPr="009A51E3" w:rsidRDefault="0020597A" w:rsidP="0020597A">
            <w:pPr>
              <w:rPr>
                <w:rFonts w:ascii="Arial" w:hAnsi="Arial" w:cs="Arial"/>
              </w:rPr>
            </w:pPr>
            <w:r w:rsidRPr="009A51E3">
              <w:rPr>
                <w:rFonts w:ascii="Arial" w:hAnsi="Arial" w:cs="Arial"/>
              </w:rPr>
              <w:t>22.   2.3%          N/A</w:t>
            </w:r>
          </w:p>
        </w:tc>
      </w:tr>
      <w:tr w:rsidR="0020597A" w:rsidRPr="00DC6A49" w14:paraId="0A2B9E75" w14:textId="77777777" w:rsidTr="009A51E3">
        <w:trPr>
          <w:trHeight w:val="399"/>
        </w:trPr>
        <w:tc>
          <w:tcPr>
            <w:tcW w:w="0" w:type="auto"/>
            <w:hideMark/>
          </w:tcPr>
          <w:p w14:paraId="0984A374" w14:textId="77777777" w:rsidR="0020597A" w:rsidRPr="009A51E3" w:rsidRDefault="0020597A" w:rsidP="0020597A">
            <w:pPr>
              <w:rPr>
                <w:rFonts w:ascii="Arial" w:hAnsi="Arial" w:cs="Arial"/>
              </w:rPr>
            </w:pPr>
            <w:r w:rsidRPr="009A51E3">
              <w:rPr>
                <w:rFonts w:ascii="Arial" w:hAnsi="Arial" w:cs="Arial"/>
              </w:rPr>
              <w:t>6.  100  %         &gt;98%</w:t>
            </w:r>
          </w:p>
        </w:tc>
        <w:tc>
          <w:tcPr>
            <w:tcW w:w="0" w:type="auto"/>
            <w:hideMark/>
          </w:tcPr>
          <w:p w14:paraId="407F41FA" w14:textId="77777777" w:rsidR="0020597A" w:rsidRPr="009A51E3" w:rsidRDefault="0020597A" w:rsidP="0020597A">
            <w:pPr>
              <w:rPr>
                <w:rFonts w:ascii="Arial" w:hAnsi="Arial" w:cs="Arial"/>
              </w:rPr>
            </w:pPr>
            <w:r w:rsidRPr="009A51E3">
              <w:rPr>
                <w:rFonts w:ascii="Arial" w:hAnsi="Arial" w:cs="Arial"/>
              </w:rPr>
              <w:t>12. 100.%        &gt;98%</w:t>
            </w:r>
          </w:p>
        </w:tc>
        <w:tc>
          <w:tcPr>
            <w:tcW w:w="0" w:type="auto"/>
            <w:hideMark/>
          </w:tcPr>
          <w:p w14:paraId="6D12ED6F" w14:textId="77777777" w:rsidR="0020597A" w:rsidRPr="009A51E3" w:rsidRDefault="0020597A" w:rsidP="0020597A">
            <w:pPr>
              <w:rPr>
                <w:rFonts w:ascii="Arial" w:hAnsi="Arial" w:cs="Arial"/>
              </w:rPr>
            </w:pPr>
          </w:p>
        </w:tc>
      </w:tr>
      <w:tr w:rsidR="0020597A" w:rsidRPr="00DC6A49" w14:paraId="5A619DF2" w14:textId="77777777" w:rsidTr="009A51E3">
        <w:trPr>
          <w:trHeight w:val="379"/>
        </w:trPr>
        <w:tc>
          <w:tcPr>
            <w:tcW w:w="0" w:type="auto"/>
            <w:hideMark/>
          </w:tcPr>
          <w:p w14:paraId="466AADF8" w14:textId="77777777" w:rsidR="0020597A" w:rsidRPr="009A51E3" w:rsidRDefault="0020597A" w:rsidP="0020597A">
            <w:pPr>
              <w:rPr>
                <w:rFonts w:ascii="Arial" w:hAnsi="Arial" w:cs="Arial"/>
              </w:rPr>
            </w:pPr>
          </w:p>
        </w:tc>
        <w:tc>
          <w:tcPr>
            <w:tcW w:w="0" w:type="auto"/>
            <w:hideMark/>
          </w:tcPr>
          <w:p w14:paraId="05A0D72B" w14:textId="77777777" w:rsidR="0020597A" w:rsidRPr="009A51E3" w:rsidRDefault="0020597A" w:rsidP="0020597A">
            <w:pPr>
              <w:rPr>
                <w:rFonts w:ascii="Arial" w:hAnsi="Arial" w:cs="Arial"/>
              </w:rPr>
            </w:pPr>
            <w:r w:rsidRPr="009A51E3">
              <w:rPr>
                <w:rFonts w:ascii="Arial" w:hAnsi="Arial" w:cs="Arial"/>
              </w:rPr>
              <w:t>13. 100%         &gt;98%</w:t>
            </w:r>
          </w:p>
        </w:tc>
        <w:tc>
          <w:tcPr>
            <w:tcW w:w="0" w:type="auto"/>
            <w:hideMark/>
          </w:tcPr>
          <w:p w14:paraId="066B3875" w14:textId="77777777" w:rsidR="0020597A" w:rsidRPr="009A51E3" w:rsidRDefault="0020597A" w:rsidP="0020597A">
            <w:pPr>
              <w:rPr>
                <w:rFonts w:ascii="Arial" w:hAnsi="Arial" w:cs="Arial"/>
              </w:rPr>
            </w:pPr>
          </w:p>
        </w:tc>
      </w:tr>
      <w:tr w:rsidR="0020597A" w:rsidRPr="00DC6A49" w14:paraId="22FDBF83" w14:textId="77777777" w:rsidTr="009A51E3">
        <w:trPr>
          <w:trHeight w:val="387"/>
        </w:trPr>
        <w:tc>
          <w:tcPr>
            <w:tcW w:w="0" w:type="auto"/>
            <w:hideMark/>
          </w:tcPr>
          <w:p w14:paraId="6DF524A7" w14:textId="77777777" w:rsidR="0020597A" w:rsidRPr="009A51E3" w:rsidRDefault="0020597A" w:rsidP="0020597A">
            <w:pPr>
              <w:rPr>
                <w:rFonts w:ascii="Arial" w:hAnsi="Arial" w:cs="Arial"/>
              </w:rPr>
            </w:pPr>
          </w:p>
        </w:tc>
        <w:tc>
          <w:tcPr>
            <w:tcW w:w="0" w:type="auto"/>
            <w:hideMark/>
          </w:tcPr>
          <w:p w14:paraId="708C0F67" w14:textId="77777777" w:rsidR="0020597A" w:rsidRPr="009A51E3" w:rsidRDefault="0020597A" w:rsidP="0020597A">
            <w:pPr>
              <w:rPr>
                <w:rFonts w:ascii="Arial" w:hAnsi="Arial" w:cs="Arial"/>
              </w:rPr>
            </w:pPr>
            <w:r w:rsidRPr="009A51E3">
              <w:rPr>
                <w:rFonts w:ascii="Arial" w:hAnsi="Arial" w:cs="Arial"/>
              </w:rPr>
              <w:t>14. 100%         &gt;98%</w:t>
            </w:r>
          </w:p>
        </w:tc>
        <w:tc>
          <w:tcPr>
            <w:tcW w:w="0" w:type="auto"/>
            <w:hideMark/>
          </w:tcPr>
          <w:p w14:paraId="4837E29F" w14:textId="77777777" w:rsidR="0020597A" w:rsidRPr="009A51E3" w:rsidRDefault="0020597A" w:rsidP="0020597A">
            <w:pPr>
              <w:rPr>
                <w:rFonts w:ascii="Arial" w:hAnsi="Arial" w:cs="Arial"/>
              </w:rPr>
            </w:pPr>
          </w:p>
        </w:tc>
      </w:tr>
      <w:tr w:rsidR="0020597A" w:rsidRPr="00DC6A49" w14:paraId="313B3D72" w14:textId="77777777" w:rsidTr="009A51E3">
        <w:trPr>
          <w:trHeight w:val="395"/>
        </w:trPr>
        <w:tc>
          <w:tcPr>
            <w:tcW w:w="0" w:type="auto"/>
            <w:hideMark/>
          </w:tcPr>
          <w:p w14:paraId="7BA8BE95" w14:textId="77777777" w:rsidR="0020597A" w:rsidRPr="009A51E3" w:rsidRDefault="0020597A" w:rsidP="0020597A">
            <w:pPr>
              <w:rPr>
                <w:rFonts w:ascii="Arial" w:hAnsi="Arial" w:cs="Arial"/>
              </w:rPr>
            </w:pPr>
          </w:p>
        </w:tc>
        <w:tc>
          <w:tcPr>
            <w:tcW w:w="0" w:type="auto"/>
            <w:hideMark/>
          </w:tcPr>
          <w:p w14:paraId="13A44A99" w14:textId="77777777" w:rsidR="0020597A" w:rsidRPr="009A51E3" w:rsidRDefault="0020597A" w:rsidP="0020597A">
            <w:pPr>
              <w:rPr>
                <w:rFonts w:ascii="Arial" w:hAnsi="Arial" w:cs="Arial"/>
              </w:rPr>
            </w:pPr>
            <w:r w:rsidRPr="009A51E3">
              <w:rPr>
                <w:rFonts w:ascii="Arial" w:hAnsi="Arial" w:cs="Arial"/>
              </w:rPr>
              <w:t>15. 33.3%        &gt;98%</w:t>
            </w:r>
          </w:p>
        </w:tc>
        <w:tc>
          <w:tcPr>
            <w:tcW w:w="0" w:type="auto"/>
            <w:hideMark/>
          </w:tcPr>
          <w:p w14:paraId="20CE9BC9" w14:textId="77777777" w:rsidR="0020597A" w:rsidRPr="009A51E3" w:rsidRDefault="0020597A" w:rsidP="0020597A">
            <w:pPr>
              <w:rPr>
                <w:rFonts w:ascii="Arial" w:hAnsi="Arial" w:cs="Arial"/>
              </w:rPr>
            </w:pPr>
          </w:p>
        </w:tc>
      </w:tr>
      <w:tr w:rsidR="0020597A" w:rsidRPr="00DC6A49" w14:paraId="1BCE8D05" w14:textId="77777777" w:rsidTr="009A51E3">
        <w:trPr>
          <w:trHeight w:val="389"/>
        </w:trPr>
        <w:tc>
          <w:tcPr>
            <w:tcW w:w="0" w:type="auto"/>
            <w:hideMark/>
          </w:tcPr>
          <w:p w14:paraId="48B10692" w14:textId="77777777" w:rsidR="0020597A" w:rsidRPr="009A51E3" w:rsidRDefault="0020597A" w:rsidP="0020597A">
            <w:pPr>
              <w:rPr>
                <w:rFonts w:ascii="Arial" w:hAnsi="Arial" w:cs="Arial"/>
              </w:rPr>
            </w:pPr>
          </w:p>
        </w:tc>
        <w:tc>
          <w:tcPr>
            <w:tcW w:w="0" w:type="auto"/>
            <w:hideMark/>
          </w:tcPr>
          <w:p w14:paraId="4A55E5CE" w14:textId="77777777" w:rsidR="0020597A" w:rsidRPr="009A51E3" w:rsidRDefault="0020597A" w:rsidP="0020597A">
            <w:pPr>
              <w:rPr>
                <w:rFonts w:ascii="Arial" w:hAnsi="Arial" w:cs="Arial"/>
              </w:rPr>
            </w:pPr>
            <w:r w:rsidRPr="009A51E3">
              <w:rPr>
                <w:rFonts w:ascii="Arial" w:hAnsi="Arial" w:cs="Arial"/>
              </w:rPr>
              <w:t>16.  71.4%        &gt;98%</w:t>
            </w:r>
          </w:p>
        </w:tc>
        <w:tc>
          <w:tcPr>
            <w:tcW w:w="0" w:type="auto"/>
            <w:hideMark/>
          </w:tcPr>
          <w:p w14:paraId="5C5DF6B6" w14:textId="77777777" w:rsidR="0020597A" w:rsidRPr="009A51E3" w:rsidRDefault="0020597A" w:rsidP="0020597A">
            <w:pPr>
              <w:rPr>
                <w:rFonts w:ascii="Arial" w:hAnsi="Arial" w:cs="Arial"/>
              </w:rPr>
            </w:pPr>
          </w:p>
        </w:tc>
      </w:tr>
      <w:tr w:rsidR="0020597A" w:rsidRPr="00DC6A49" w14:paraId="4DFFCFF6" w14:textId="77777777" w:rsidTr="009A51E3">
        <w:trPr>
          <w:trHeight w:val="465"/>
        </w:trPr>
        <w:tc>
          <w:tcPr>
            <w:tcW w:w="0" w:type="auto"/>
            <w:hideMark/>
          </w:tcPr>
          <w:p w14:paraId="5E04B7AE" w14:textId="77777777" w:rsidR="0020597A" w:rsidRPr="009A51E3" w:rsidRDefault="0020597A" w:rsidP="0020597A">
            <w:pPr>
              <w:rPr>
                <w:rFonts w:ascii="Arial" w:hAnsi="Arial" w:cs="Arial"/>
              </w:rPr>
            </w:pPr>
          </w:p>
        </w:tc>
        <w:tc>
          <w:tcPr>
            <w:tcW w:w="0" w:type="auto"/>
            <w:hideMark/>
          </w:tcPr>
          <w:p w14:paraId="76077742" w14:textId="77777777" w:rsidR="0020597A" w:rsidRPr="009A51E3" w:rsidRDefault="0020597A" w:rsidP="0020597A">
            <w:pPr>
              <w:rPr>
                <w:rFonts w:ascii="Arial" w:hAnsi="Arial" w:cs="Arial"/>
              </w:rPr>
            </w:pPr>
            <w:r w:rsidRPr="009A51E3">
              <w:rPr>
                <w:rFonts w:ascii="Arial" w:hAnsi="Arial" w:cs="Arial"/>
              </w:rPr>
              <w:t>17.    -                &gt;90%</w:t>
            </w:r>
          </w:p>
        </w:tc>
        <w:tc>
          <w:tcPr>
            <w:tcW w:w="0" w:type="auto"/>
            <w:hideMark/>
          </w:tcPr>
          <w:p w14:paraId="17771225" w14:textId="77777777" w:rsidR="0020597A" w:rsidRPr="009A51E3" w:rsidRDefault="0020597A" w:rsidP="0020597A">
            <w:pPr>
              <w:rPr>
                <w:rFonts w:ascii="Arial" w:hAnsi="Arial" w:cs="Arial"/>
              </w:rPr>
            </w:pPr>
          </w:p>
        </w:tc>
      </w:tr>
    </w:tbl>
    <w:p w14:paraId="69D9E4E2" w14:textId="77777777" w:rsidR="0020597A" w:rsidRDefault="0020597A">
      <w:pPr>
        <w:rPr>
          <w:rFonts w:ascii="Arial" w:hAnsi="Arial"/>
        </w:rPr>
      </w:pPr>
    </w:p>
    <w:p w14:paraId="38D24173" w14:textId="77777777" w:rsidR="00EC4921" w:rsidRDefault="00EC4921">
      <w:pPr>
        <w:rPr>
          <w:rFonts w:ascii="Arial" w:hAnsi="Arial"/>
        </w:rPr>
      </w:pPr>
    </w:p>
    <w:p w14:paraId="75259D7C" w14:textId="059DCBC4" w:rsidR="00EC4921" w:rsidRDefault="00EC4921">
      <w:pPr>
        <w:rPr>
          <w:rFonts w:ascii="Arial" w:hAnsi="Arial"/>
        </w:rPr>
      </w:pPr>
      <w:r>
        <w:rPr>
          <w:rFonts w:ascii="Arial" w:hAnsi="Arial"/>
        </w:rPr>
        <w:t>BIBLIOGRAFIA</w:t>
      </w:r>
    </w:p>
    <w:p w14:paraId="3F178D8A" w14:textId="77777777" w:rsidR="00EC4921" w:rsidRPr="00EC4921" w:rsidRDefault="00EC4921" w:rsidP="00EC4921">
      <w:pPr>
        <w:jc w:val="both"/>
        <w:rPr>
          <w:rFonts w:ascii="Arial" w:hAnsi="Arial" w:cs="Arial"/>
        </w:rPr>
      </w:pPr>
    </w:p>
    <w:p w14:paraId="6C4CA1AA" w14:textId="1375293D" w:rsidR="00EC4921" w:rsidRPr="00EC4921" w:rsidRDefault="00EC4921" w:rsidP="00EC4921">
      <w:pPr>
        <w:pStyle w:val="Prrafodelista"/>
        <w:numPr>
          <w:ilvl w:val="0"/>
          <w:numId w:val="5"/>
        </w:numPr>
        <w:autoSpaceDE w:val="0"/>
        <w:autoSpaceDN w:val="0"/>
        <w:adjustRightInd w:val="0"/>
        <w:spacing w:after="0" w:line="360" w:lineRule="auto"/>
        <w:jc w:val="both"/>
        <w:rPr>
          <w:rFonts w:ascii="Arial" w:hAnsi="Arial" w:cs="Arial"/>
          <w:sz w:val="24"/>
          <w:szCs w:val="24"/>
          <w:lang w:val="en-US" w:eastAsia="ja-JP"/>
        </w:rPr>
      </w:pPr>
      <w:proofErr w:type="spellStart"/>
      <w:r>
        <w:rPr>
          <w:rFonts w:ascii="Arial" w:hAnsi="Arial" w:cs="Arial"/>
          <w:bCs/>
          <w:sz w:val="24"/>
          <w:szCs w:val="24"/>
          <w:lang w:val="en-US"/>
        </w:rPr>
        <w:t>Rizk</w:t>
      </w:r>
      <w:proofErr w:type="spellEnd"/>
      <w:r>
        <w:rPr>
          <w:rFonts w:ascii="Arial" w:hAnsi="Arial" w:cs="Arial"/>
          <w:bCs/>
          <w:sz w:val="24"/>
          <w:szCs w:val="24"/>
          <w:lang w:val="en-US"/>
        </w:rPr>
        <w:t xml:space="preserve">, M; </w:t>
      </w:r>
      <w:proofErr w:type="spellStart"/>
      <w:r w:rsidRPr="00EC4921">
        <w:rPr>
          <w:rFonts w:ascii="Arial" w:hAnsi="Arial" w:cs="Arial"/>
          <w:sz w:val="24"/>
          <w:szCs w:val="24"/>
          <w:lang w:val="es-ES"/>
        </w:rPr>
        <w:t>Sawhney</w:t>
      </w:r>
      <w:proofErr w:type="spellEnd"/>
      <w:r w:rsidRPr="00EC4921">
        <w:rPr>
          <w:rFonts w:ascii="Arial" w:hAnsi="Arial" w:cs="Arial"/>
          <w:sz w:val="24"/>
          <w:szCs w:val="24"/>
          <w:lang w:val="es-ES"/>
        </w:rPr>
        <w:t xml:space="preserve">, M; </w:t>
      </w:r>
      <w:r w:rsidRPr="00EC4921">
        <w:rPr>
          <w:rFonts w:ascii="Arial" w:hAnsi="Arial" w:cs="Arial"/>
          <w:sz w:val="24"/>
          <w:szCs w:val="24"/>
          <w:lang w:val="es-ES"/>
        </w:rPr>
        <w:t>Cohen</w:t>
      </w:r>
      <w:r w:rsidRPr="00EC4921">
        <w:rPr>
          <w:rFonts w:ascii="Arial" w:hAnsi="Arial" w:cs="Arial"/>
          <w:sz w:val="24"/>
          <w:szCs w:val="24"/>
          <w:lang w:val="es-ES"/>
        </w:rPr>
        <w:t xml:space="preserve">, J. </w:t>
      </w:r>
      <w:proofErr w:type="spellStart"/>
      <w:r w:rsidRPr="00EC4921">
        <w:rPr>
          <w:rFonts w:ascii="Arial" w:hAnsi="Arial" w:cs="Arial"/>
          <w:sz w:val="24"/>
          <w:szCs w:val="24"/>
          <w:lang w:val="es-ES"/>
        </w:rPr>
        <w:t>Et.Al</w:t>
      </w:r>
      <w:proofErr w:type="spellEnd"/>
      <w:r w:rsidRPr="00EC4921">
        <w:rPr>
          <w:rFonts w:ascii="Arial" w:hAnsi="Arial" w:cs="Arial"/>
          <w:sz w:val="24"/>
          <w:szCs w:val="24"/>
          <w:lang w:val="es-ES"/>
        </w:rPr>
        <w:t>.</w:t>
      </w:r>
      <w:r>
        <w:rPr>
          <w:rFonts w:ascii="Times New Roman" w:hAnsi="Times New Roman" w:cs="Times New Roman"/>
          <w:sz w:val="20"/>
          <w:szCs w:val="20"/>
          <w:lang w:val="es-ES"/>
        </w:rPr>
        <w:t xml:space="preserve"> </w:t>
      </w:r>
      <w:r w:rsidRPr="00EC4921">
        <w:rPr>
          <w:rFonts w:ascii="Arial" w:hAnsi="Arial" w:cs="Arial"/>
          <w:bCs/>
          <w:sz w:val="24"/>
          <w:szCs w:val="24"/>
          <w:lang w:val="en-US"/>
        </w:rPr>
        <w:t>ASGE</w:t>
      </w:r>
      <w:r w:rsidRPr="00EC4921">
        <w:rPr>
          <w:rFonts w:ascii="Arial" w:hAnsi="Arial" w:cs="Arial"/>
          <w:b/>
          <w:bCs/>
          <w:sz w:val="24"/>
          <w:szCs w:val="24"/>
          <w:lang w:val="en-US"/>
        </w:rPr>
        <w:t>.</w:t>
      </w:r>
      <w:r w:rsidRPr="00EC4921">
        <w:rPr>
          <w:rFonts w:ascii="Arial" w:hAnsi="Arial" w:cs="Arial"/>
          <w:sz w:val="24"/>
          <w:szCs w:val="24"/>
          <w:lang w:val="en-US" w:eastAsia="ja-JP"/>
        </w:rPr>
        <w:t xml:space="preserve"> Quality indicators for GI endoscopic procedures. </w:t>
      </w:r>
      <w:proofErr w:type="spellStart"/>
      <w:r w:rsidRPr="00EC4921">
        <w:rPr>
          <w:rFonts w:ascii="Arial" w:hAnsi="Arial" w:cs="Arial"/>
          <w:sz w:val="24"/>
          <w:szCs w:val="24"/>
          <w:lang w:val="en-US" w:eastAsia="ja-JP"/>
        </w:rPr>
        <w:t>Gastrointes</w:t>
      </w:r>
      <w:proofErr w:type="spellEnd"/>
      <w:r w:rsidRPr="00EC4921">
        <w:rPr>
          <w:rFonts w:ascii="Arial" w:hAnsi="Arial" w:cs="Arial"/>
          <w:sz w:val="24"/>
          <w:szCs w:val="24"/>
          <w:lang w:val="en-US" w:eastAsia="ja-JP"/>
        </w:rPr>
        <w:t xml:space="preserve"> </w:t>
      </w:r>
      <w:proofErr w:type="spellStart"/>
      <w:r w:rsidRPr="00EC4921">
        <w:rPr>
          <w:rFonts w:ascii="Arial" w:hAnsi="Arial" w:cs="Arial"/>
          <w:sz w:val="24"/>
          <w:szCs w:val="24"/>
          <w:lang w:val="en-US" w:eastAsia="ja-JP"/>
        </w:rPr>
        <w:t>Endosc</w:t>
      </w:r>
      <w:proofErr w:type="spellEnd"/>
      <w:r w:rsidRPr="00EC4921">
        <w:rPr>
          <w:rFonts w:ascii="Arial" w:hAnsi="Arial" w:cs="Arial"/>
          <w:sz w:val="24"/>
          <w:szCs w:val="24"/>
          <w:lang w:val="en-US" w:eastAsia="ja-JP"/>
        </w:rPr>
        <w:t>. 2015</w:t>
      </w:r>
      <w:proofErr w:type="gramStart"/>
      <w:r w:rsidRPr="00EC4921">
        <w:rPr>
          <w:rFonts w:ascii="Arial" w:hAnsi="Arial" w:cs="Arial"/>
          <w:sz w:val="24"/>
          <w:szCs w:val="24"/>
          <w:lang w:val="en-US" w:eastAsia="ja-JP"/>
        </w:rPr>
        <w:t>;81</w:t>
      </w:r>
      <w:proofErr w:type="gramEnd"/>
      <w:r w:rsidRPr="00EC4921">
        <w:rPr>
          <w:rFonts w:ascii="Arial" w:hAnsi="Arial" w:cs="Arial"/>
          <w:sz w:val="24"/>
          <w:szCs w:val="24"/>
          <w:lang w:val="en-US" w:eastAsia="ja-JP"/>
        </w:rPr>
        <w:t>(1):17-30</w:t>
      </w:r>
    </w:p>
    <w:p w14:paraId="645D78D3" w14:textId="6DC16331" w:rsidR="00EC4921" w:rsidRPr="00EC4921" w:rsidRDefault="00EC4921" w:rsidP="00EC4921">
      <w:pPr>
        <w:pStyle w:val="Prrafodelista"/>
        <w:numPr>
          <w:ilvl w:val="0"/>
          <w:numId w:val="5"/>
        </w:numPr>
        <w:autoSpaceDE w:val="0"/>
        <w:autoSpaceDN w:val="0"/>
        <w:adjustRightInd w:val="0"/>
        <w:spacing w:after="0" w:line="360" w:lineRule="auto"/>
        <w:jc w:val="both"/>
        <w:rPr>
          <w:rFonts w:ascii="Arial" w:hAnsi="Arial" w:cs="Arial"/>
          <w:sz w:val="24"/>
          <w:szCs w:val="24"/>
          <w:lang w:val="en-US" w:eastAsia="ja-JP"/>
        </w:rPr>
      </w:pPr>
      <w:r w:rsidRPr="00EC4921">
        <w:rPr>
          <w:rFonts w:ascii="Arial" w:hAnsi="Arial" w:cs="Arial"/>
          <w:sz w:val="24"/>
          <w:szCs w:val="24"/>
          <w:lang w:val="en-US" w:eastAsia="ja-JP"/>
        </w:rPr>
        <w:t xml:space="preserve"> </w:t>
      </w:r>
      <w:proofErr w:type="spellStart"/>
      <w:r w:rsidRPr="00EC4921">
        <w:rPr>
          <w:rFonts w:ascii="Arial" w:hAnsi="Arial" w:cs="Arial"/>
          <w:sz w:val="24"/>
          <w:szCs w:val="24"/>
          <w:lang w:val="en-US" w:eastAsia="ja-JP"/>
        </w:rPr>
        <w:t>Bretthauer</w:t>
      </w:r>
      <w:proofErr w:type="spellEnd"/>
      <w:r w:rsidRPr="00EC4921">
        <w:rPr>
          <w:rFonts w:ascii="Arial" w:hAnsi="Arial" w:cs="Arial"/>
          <w:sz w:val="24"/>
          <w:szCs w:val="24"/>
          <w:lang w:val="en-US" w:eastAsia="ja-JP"/>
        </w:rPr>
        <w:t xml:space="preserve"> M. ESGE. Requirements and standards facilitating quality</w:t>
      </w:r>
      <w:r>
        <w:rPr>
          <w:rFonts w:ascii="Arial" w:hAnsi="Arial" w:cs="Arial"/>
          <w:sz w:val="24"/>
          <w:szCs w:val="24"/>
          <w:lang w:val="en-US" w:eastAsia="ja-JP"/>
        </w:rPr>
        <w:t xml:space="preserve"> </w:t>
      </w:r>
      <w:r w:rsidRPr="00EC4921">
        <w:rPr>
          <w:rFonts w:ascii="Arial" w:hAnsi="Arial" w:cs="Arial"/>
          <w:sz w:val="24"/>
          <w:szCs w:val="24"/>
          <w:lang w:val="en-US" w:eastAsia="ja-JP"/>
        </w:rPr>
        <w:t xml:space="preserve">improvement for reporting systems in gastrointestinal endoscopy: European Society of Gastrointestinal Endoscopy (ESGE) Position Statement. </w:t>
      </w:r>
      <w:proofErr w:type="spellStart"/>
      <w:r w:rsidRPr="00EC4921">
        <w:rPr>
          <w:rFonts w:ascii="Arial" w:hAnsi="Arial" w:cs="Arial"/>
          <w:sz w:val="24"/>
          <w:szCs w:val="24"/>
          <w:lang w:eastAsia="ja-JP"/>
        </w:rPr>
        <w:t>Endoscopy</w:t>
      </w:r>
      <w:proofErr w:type="spellEnd"/>
      <w:r w:rsidRPr="00EC4921">
        <w:rPr>
          <w:rFonts w:ascii="Arial" w:hAnsi="Arial" w:cs="Arial"/>
          <w:sz w:val="24"/>
          <w:szCs w:val="24"/>
          <w:lang w:eastAsia="ja-JP"/>
        </w:rPr>
        <w:t xml:space="preserve"> 2016;48:291-4.</w:t>
      </w:r>
    </w:p>
    <w:p w14:paraId="70F122D9" w14:textId="77777777" w:rsidR="00EC4921" w:rsidRPr="00EC4921" w:rsidRDefault="00EC4921" w:rsidP="00EC4921">
      <w:pPr>
        <w:pStyle w:val="Prrafodelista"/>
        <w:numPr>
          <w:ilvl w:val="0"/>
          <w:numId w:val="5"/>
        </w:numPr>
        <w:autoSpaceDE w:val="0"/>
        <w:autoSpaceDN w:val="0"/>
        <w:adjustRightInd w:val="0"/>
        <w:spacing w:after="0" w:line="360" w:lineRule="auto"/>
        <w:jc w:val="both"/>
        <w:rPr>
          <w:rFonts w:ascii="Arial" w:hAnsi="Arial" w:cs="Arial"/>
          <w:sz w:val="24"/>
          <w:szCs w:val="24"/>
          <w:lang w:eastAsia="ja-JP"/>
        </w:rPr>
      </w:pPr>
      <w:r w:rsidRPr="00EC4921">
        <w:rPr>
          <w:rFonts w:ascii="Arial" w:hAnsi="Arial" w:cs="Arial"/>
          <w:sz w:val="24"/>
          <w:szCs w:val="24"/>
          <w:lang w:eastAsia="ja-JP"/>
        </w:rPr>
        <w:t>Trujillo-Benavides OE et al. Registro de indicadores de calidad de la esófagogastroduodenoscopia en el Hospital de Especialidades del Centro Médico Nacional La Raza del IMSS. Gastroenterol Mex. 2009;74(4) 302-5</w:t>
      </w:r>
    </w:p>
    <w:p w14:paraId="6DD2C3C2" w14:textId="77777777" w:rsidR="00EC4921" w:rsidRPr="00EC4921" w:rsidRDefault="00EC4921" w:rsidP="00EC4921">
      <w:pPr>
        <w:pStyle w:val="Prrafodelista"/>
        <w:numPr>
          <w:ilvl w:val="0"/>
          <w:numId w:val="5"/>
        </w:numPr>
        <w:autoSpaceDE w:val="0"/>
        <w:autoSpaceDN w:val="0"/>
        <w:adjustRightInd w:val="0"/>
        <w:spacing w:after="0" w:line="360" w:lineRule="auto"/>
        <w:jc w:val="both"/>
        <w:rPr>
          <w:rFonts w:ascii="Arial" w:hAnsi="Arial" w:cs="Arial"/>
          <w:sz w:val="24"/>
          <w:szCs w:val="24"/>
          <w:lang w:eastAsia="ja-JP"/>
        </w:rPr>
      </w:pPr>
      <w:r w:rsidRPr="00EC4921">
        <w:rPr>
          <w:rFonts w:ascii="Arial" w:hAnsi="Arial" w:cs="Arial"/>
          <w:sz w:val="24"/>
          <w:szCs w:val="24"/>
        </w:rPr>
        <w:t>Córdova H, Sánchez-Montes C, Delgado-Guillena PG, Morales VJ, Sendino O, González-Suárez B, et al. Indicadores de calidad en la esofagogastroduodenoscopia: estudio comparativo de los resultados tras un programa de mejora en un hospital terciario. Gastroenterol Hepatol. 2017;40:587–594</w:t>
      </w:r>
    </w:p>
    <w:p w14:paraId="119ECF82" w14:textId="77777777" w:rsidR="00EC4921" w:rsidRPr="003F5403" w:rsidRDefault="00EC4921" w:rsidP="00EC4921">
      <w:pPr>
        <w:spacing w:line="360" w:lineRule="auto"/>
        <w:rPr>
          <w:rFonts w:ascii="Arial" w:hAnsi="Arial"/>
        </w:rPr>
      </w:pPr>
    </w:p>
    <w:sectPr w:rsidR="00EC4921" w:rsidRPr="003F5403" w:rsidSect="00E9146C">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628CE"/>
    <w:multiLevelType w:val="multilevel"/>
    <w:tmpl w:val="B9FC992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33010F6"/>
    <w:multiLevelType w:val="hybridMultilevel"/>
    <w:tmpl w:val="E1FE78B8"/>
    <w:lvl w:ilvl="0" w:tplc="8E500418">
      <w:start w:val="1"/>
      <w:numFmt w:val="decimal"/>
      <w:lvlText w:val="%1."/>
      <w:lvlJc w:val="left"/>
      <w:pPr>
        <w:ind w:left="360" w:hanging="360"/>
      </w:pPr>
      <w:rPr>
        <w:rFonts w:asciiTheme="minorHAnsi" w:eastAsiaTheme="minorHAnsi" w:hAnsiTheme="minorHAnsi" w:cstheme="minorBidi"/>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nsid w:val="2CEA5A73"/>
    <w:multiLevelType w:val="hybridMultilevel"/>
    <w:tmpl w:val="168EA9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4205D9"/>
    <w:multiLevelType w:val="multilevel"/>
    <w:tmpl w:val="B9FC992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45DB3565"/>
    <w:multiLevelType w:val="hybridMultilevel"/>
    <w:tmpl w:val="31560D4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hint="default"/>
      </w:rPr>
    </w:lvl>
    <w:lvl w:ilvl="8" w:tplc="0C0A0005" w:tentative="1">
      <w:start w:val="1"/>
      <w:numFmt w:val="bullet"/>
      <w:lvlText w:val=""/>
      <w:lvlJc w:val="left"/>
      <w:pPr>
        <w:ind w:left="7188"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403"/>
    <w:rsid w:val="0020597A"/>
    <w:rsid w:val="003579EB"/>
    <w:rsid w:val="003F5403"/>
    <w:rsid w:val="00401367"/>
    <w:rsid w:val="004C6DEA"/>
    <w:rsid w:val="00683F33"/>
    <w:rsid w:val="00793DE2"/>
    <w:rsid w:val="007D70CD"/>
    <w:rsid w:val="00872591"/>
    <w:rsid w:val="009A51E3"/>
    <w:rsid w:val="00BC623C"/>
    <w:rsid w:val="00DB1E52"/>
    <w:rsid w:val="00E9146C"/>
    <w:rsid w:val="00EC4921"/>
    <w:rsid w:val="00F14F21"/>
    <w:rsid w:val="00FD3AC8"/>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DA334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3F5403"/>
    <w:pPr>
      <w:overflowPunct w:val="0"/>
      <w:autoSpaceDE w:val="0"/>
      <w:autoSpaceDN w:val="0"/>
      <w:adjustRightInd w:val="0"/>
      <w:jc w:val="both"/>
      <w:textAlignment w:val="baseline"/>
    </w:pPr>
    <w:rPr>
      <w:rFonts w:ascii="Arial" w:eastAsia="Times New Roman" w:hAnsi="Arial" w:cs="Times New Roman"/>
      <w:szCs w:val="20"/>
      <w:lang w:val="es-ES"/>
    </w:rPr>
  </w:style>
  <w:style w:type="character" w:customStyle="1" w:styleId="TextodecuerpoCar">
    <w:name w:val="Texto de cuerpo Car"/>
    <w:basedOn w:val="Fuentedeprrafopredeter"/>
    <w:link w:val="Textodecuerpo"/>
    <w:rsid w:val="003F5403"/>
    <w:rPr>
      <w:rFonts w:ascii="Arial" w:eastAsia="Times New Roman" w:hAnsi="Arial" w:cs="Times New Roman"/>
      <w:szCs w:val="20"/>
      <w:lang w:val="es-ES"/>
    </w:rPr>
  </w:style>
  <w:style w:type="paragraph" w:styleId="HTMLconformatoprevio">
    <w:name w:val="HTML Preformatted"/>
    <w:basedOn w:val="Normal"/>
    <w:link w:val="HTMLconformatoprevioCar"/>
    <w:uiPriority w:val="99"/>
    <w:semiHidden/>
    <w:unhideWhenUsed/>
    <w:rsid w:val="003F5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conformatoprevioCar">
    <w:name w:val="HTML con formato previo Car"/>
    <w:basedOn w:val="Fuentedeprrafopredeter"/>
    <w:link w:val="HTMLconformatoprevio"/>
    <w:uiPriority w:val="99"/>
    <w:semiHidden/>
    <w:rsid w:val="003F5403"/>
    <w:rPr>
      <w:rFonts w:ascii="Courier" w:hAnsi="Courier" w:cs="Courier"/>
      <w:sz w:val="20"/>
      <w:szCs w:val="20"/>
    </w:rPr>
  </w:style>
  <w:style w:type="paragraph" w:styleId="Prrafodelista">
    <w:name w:val="List Paragraph"/>
    <w:basedOn w:val="Normal"/>
    <w:uiPriority w:val="34"/>
    <w:qFormat/>
    <w:rsid w:val="00FD3AC8"/>
    <w:pPr>
      <w:spacing w:after="160" w:line="259" w:lineRule="auto"/>
      <w:ind w:left="720"/>
      <w:contextualSpacing/>
    </w:pPr>
    <w:rPr>
      <w:rFonts w:eastAsiaTheme="minorHAnsi"/>
      <w:sz w:val="22"/>
      <w:szCs w:val="22"/>
      <w:lang w:val="es-MX" w:eastAsia="en-US"/>
    </w:rPr>
  </w:style>
  <w:style w:type="table" w:styleId="Tablaconcuadrcula">
    <w:name w:val="Table Grid"/>
    <w:basedOn w:val="Tablanormal"/>
    <w:uiPriority w:val="59"/>
    <w:rsid w:val="00683F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3F5403"/>
    <w:pPr>
      <w:overflowPunct w:val="0"/>
      <w:autoSpaceDE w:val="0"/>
      <w:autoSpaceDN w:val="0"/>
      <w:adjustRightInd w:val="0"/>
      <w:jc w:val="both"/>
      <w:textAlignment w:val="baseline"/>
    </w:pPr>
    <w:rPr>
      <w:rFonts w:ascii="Arial" w:eastAsia="Times New Roman" w:hAnsi="Arial" w:cs="Times New Roman"/>
      <w:szCs w:val="20"/>
      <w:lang w:val="es-ES"/>
    </w:rPr>
  </w:style>
  <w:style w:type="character" w:customStyle="1" w:styleId="TextodecuerpoCar">
    <w:name w:val="Texto de cuerpo Car"/>
    <w:basedOn w:val="Fuentedeprrafopredeter"/>
    <w:link w:val="Textodecuerpo"/>
    <w:rsid w:val="003F5403"/>
    <w:rPr>
      <w:rFonts w:ascii="Arial" w:eastAsia="Times New Roman" w:hAnsi="Arial" w:cs="Times New Roman"/>
      <w:szCs w:val="20"/>
      <w:lang w:val="es-ES"/>
    </w:rPr>
  </w:style>
  <w:style w:type="paragraph" w:styleId="HTMLconformatoprevio">
    <w:name w:val="HTML Preformatted"/>
    <w:basedOn w:val="Normal"/>
    <w:link w:val="HTMLconformatoprevioCar"/>
    <w:uiPriority w:val="99"/>
    <w:semiHidden/>
    <w:unhideWhenUsed/>
    <w:rsid w:val="003F5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conformatoprevioCar">
    <w:name w:val="HTML con formato previo Car"/>
    <w:basedOn w:val="Fuentedeprrafopredeter"/>
    <w:link w:val="HTMLconformatoprevio"/>
    <w:uiPriority w:val="99"/>
    <w:semiHidden/>
    <w:rsid w:val="003F5403"/>
    <w:rPr>
      <w:rFonts w:ascii="Courier" w:hAnsi="Courier" w:cs="Courier"/>
      <w:sz w:val="20"/>
      <w:szCs w:val="20"/>
    </w:rPr>
  </w:style>
  <w:style w:type="paragraph" w:styleId="Prrafodelista">
    <w:name w:val="List Paragraph"/>
    <w:basedOn w:val="Normal"/>
    <w:uiPriority w:val="34"/>
    <w:qFormat/>
    <w:rsid w:val="00FD3AC8"/>
    <w:pPr>
      <w:spacing w:after="160" w:line="259" w:lineRule="auto"/>
      <w:ind w:left="720"/>
      <w:contextualSpacing/>
    </w:pPr>
    <w:rPr>
      <w:rFonts w:eastAsiaTheme="minorHAnsi"/>
      <w:sz w:val="22"/>
      <w:szCs w:val="22"/>
      <w:lang w:val="es-MX" w:eastAsia="en-US"/>
    </w:rPr>
  </w:style>
  <w:style w:type="table" w:styleId="Tablaconcuadrcula">
    <w:name w:val="Table Grid"/>
    <w:basedOn w:val="Tablanormal"/>
    <w:uiPriority w:val="59"/>
    <w:rsid w:val="00683F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920680">
      <w:bodyDiv w:val="1"/>
      <w:marLeft w:val="0"/>
      <w:marRight w:val="0"/>
      <w:marTop w:val="0"/>
      <w:marBottom w:val="0"/>
      <w:divBdr>
        <w:top w:val="none" w:sz="0" w:space="0" w:color="auto"/>
        <w:left w:val="none" w:sz="0" w:space="0" w:color="auto"/>
        <w:bottom w:val="none" w:sz="0" w:space="0" w:color="auto"/>
        <w:right w:val="none" w:sz="0" w:space="0" w:color="auto"/>
      </w:divBdr>
    </w:div>
    <w:div w:id="9656241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9</Pages>
  <Words>2562</Words>
  <Characters>14093</Characters>
  <Application>Microsoft Macintosh Word</Application>
  <DocSecurity>0</DocSecurity>
  <Lines>117</Lines>
  <Paragraphs>33</Paragraphs>
  <ScaleCrop>false</ScaleCrop>
  <Company>fmuaq</Company>
  <LinksUpToDate>false</LinksUpToDate>
  <CharactersWithSpaces>16622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Roberto  Ramirez Nava</dc:creator>
  <cp:keywords/>
  <dc:description/>
  <cp:lastModifiedBy>Jose Roberto  Ramirez Nava</cp:lastModifiedBy>
  <cp:revision>5</cp:revision>
  <dcterms:created xsi:type="dcterms:W3CDTF">2019-07-30T20:16:00Z</dcterms:created>
  <dcterms:modified xsi:type="dcterms:W3CDTF">2019-09-25T18:54:00Z</dcterms:modified>
</cp:coreProperties>
</file>