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F0F" w:rsidRPr="00B339AC" w:rsidRDefault="00E65F0F" w:rsidP="00E65F0F">
      <w:pPr>
        <w:jc w:val="both"/>
        <w:rPr>
          <w:b/>
          <w:sz w:val="24"/>
          <w:szCs w:val="24"/>
          <w:lang w:val="en-US"/>
        </w:rPr>
      </w:pPr>
      <w:r w:rsidRPr="00B339AC">
        <w:rPr>
          <w:b/>
          <w:sz w:val="24"/>
          <w:szCs w:val="24"/>
          <w:lang w:val="en-US"/>
        </w:rPr>
        <w:t>A randomized</w:t>
      </w:r>
      <w:r>
        <w:rPr>
          <w:b/>
          <w:sz w:val="24"/>
          <w:szCs w:val="24"/>
          <w:lang w:val="en-US"/>
        </w:rPr>
        <w:t xml:space="preserve"> </w:t>
      </w:r>
      <w:r w:rsidRPr="00B339AC">
        <w:rPr>
          <w:b/>
          <w:sz w:val="24"/>
          <w:szCs w:val="24"/>
          <w:lang w:val="en-US"/>
        </w:rPr>
        <w:t xml:space="preserve">placebo-controlled </w:t>
      </w:r>
      <w:r>
        <w:rPr>
          <w:b/>
          <w:sz w:val="24"/>
          <w:szCs w:val="24"/>
          <w:lang w:val="en-US"/>
        </w:rPr>
        <w:t xml:space="preserve">N-of 1 </w:t>
      </w:r>
      <w:r w:rsidRPr="00B339AC">
        <w:rPr>
          <w:b/>
          <w:sz w:val="24"/>
          <w:szCs w:val="24"/>
          <w:lang w:val="en-US"/>
        </w:rPr>
        <w:t>trial</w:t>
      </w:r>
      <w:r>
        <w:rPr>
          <w:b/>
          <w:sz w:val="24"/>
          <w:szCs w:val="24"/>
          <w:lang w:val="en-US"/>
        </w:rPr>
        <w:t xml:space="preserve">: The </w:t>
      </w:r>
      <w:r w:rsidRPr="009123AD">
        <w:rPr>
          <w:b/>
          <w:noProof/>
          <w:sz w:val="24"/>
          <w:szCs w:val="24"/>
          <w:lang w:val="en-US"/>
        </w:rPr>
        <w:t>effect</w:t>
      </w:r>
      <w:r w:rsidRPr="00B339AC">
        <w:rPr>
          <w:b/>
          <w:sz w:val="24"/>
          <w:szCs w:val="24"/>
          <w:lang w:val="en-US"/>
        </w:rPr>
        <w:t xml:space="preserve"> of </w:t>
      </w:r>
      <w:r w:rsidRPr="009123AD">
        <w:rPr>
          <w:b/>
          <w:noProof/>
          <w:sz w:val="24"/>
          <w:szCs w:val="24"/>
          <w:lang w:val="en-US"/>
        </w:rPr>
        <w:t>proton</w:t>
      </w:r>
      <w:r w:rsidRPr="00B339AC">
        <w:rPr>
          <w:b/>
          <w:sz w:val="24"/>
          <w:szCs w:val="24"/>
          <w:lang w:val="en-US"/>
        </w:rPr>
        <w:t xml:space="preserve"> </w:t>
      </w:r>
      <w:r w:rsidRPr="009123AD">
        <w:rPr>
          <w:b/>
          <w:noProof/>
          <w:sz w:val="24"/>
          <w:szCs w:val="24"/>
          <w:lang w:val="en-US"/>
        </w:rPr>
        <w:t>pump</w:t>
      </w:r>
      <w:r w:rsidRPr="00B339AC">
        <w:rPr>
          <w:b/>
          <w:sz w:val="24"/>
          <w:szCs w:val="24"/>
          <w:lang w:val="en-US"/>
        </w:rPr>
        <w:t xml:space="preserve"> </w:t>
      </w:r>
      <w:r w:rsidRPr="009123AD">
        <w:rPr>
          <w:b/>
          <w:noProof/>
          <w:sz w:val="24"/>
          <w:szCs w:val="24"/>
          <w:lang w:val="en-US"/>
        </w:rPr>
        <w:t>inhibitor</w:t>
      </w:r>
      <w:r w:rsidRPr="00B339AC">
        <w:rPr>
          <w:b/>
          <w:sz w:val="24"/>
          <w:szCs w:val="24"/>
          <w:lang w:val="en-US"/>
        </w:rPr>
        <w:t xml:space="preserve"> in</w:t>
      </w:r>
      <w:r>
        <w:rPr>
          <w:b/>
          <w:sz w:val="24"/>
          <w:szCs w:val="24"/>
          <w:lang w:val="en-US"/>
        </w:rPr>
        <w:t xml:space="preserve"> the management of</w:t>
      </w:r>
      <w:r w:rsidRPr="00B339AC">
        <w:rPr>
          <w:b/>
          <w:sz w:val="24"/>
          <w:szCs w:val="24"/>
          <w:lang w:val="en-US"/>
        </w:rPr>
        <w:t xml:space="preserve"> gast</w:t>
      </w:r>
      <w:bookmarkStart w:id="0" w:name="_GoBack"/>
      <w:bookmarkEnd w:id="0"/>
      <w:r w:rsidRPr="00B339AC">
        <w:rPr>
          <w:b/>
          <w:sz w:val="24"/>
          <w:szCs w:val="24"/>
          <w:lang w:val="en-US"/>
        </w:rPr>
        <w:t>ro-esophageal reflux disease.</w:t>
      </w:r>
    </w:p>
    <w:p w:rsidR="00E65F0F" w:rsidRPr="00B339AC" w:rsidRDefault="00E65F0F" w:rsidP="00E65F0F">
      <w:pPr>
        <w:jc w:val="both"/>
        <w:rPr>
          <w:b/>
          <w:sz w:val="24"/>
          <w:szCs w:val="24"/>
          <w:lang w:val="en-US"/>
        </w:rPr>
      </w:pPr>
      <w:r w:rsidRPr="00B339AC">
        <w:rPr>
          <w:b/>
          <w:sz w:val="24"/>
          <w:szCs w:val="24"/>
          <w:lang w:val="en-US"/>
        </w:rPr>
        <w:t>ABSTRACT</w:t>
      </w:r>
    </w:p>
    <w:p w:rsidR="00E65F0F" w:rsidRPr="00E65F0F" w:rsidRDefault="00E65F0F" w:rsidP="00E65F0F">
      <w:pPr>
        <w:autoSpaceDE w:val="0"/>
        <w:autoSpaceDN w:val="0"/>
        <w:adjustRightInd w:val="0"/>
        <w:spacing w:after="0"/>
        <w:jc w:val="both"/>
        <w:rPr>
          <w:bCs/>
          <w:sz w:val="24"/>
          <w:szCs w:val="24"/>
          <w:lang w:val="en-US"/>
        </w:rPr>
      </w:pPr>
      <w:r w:rsidRPr="00E65F0F">
        <w:rPr>
          <w:b/>
          <w:sz w:val="24"/>
          <w:szCs w:val="24"/>
          <w:lang w:val="en-US"/>
        </w:rPr>
        <w:t>Background.</w:t>
      </w:r>
      <w:r w:rsidRPr="00E65F0F">
        <w:rPr>
          <w:bCs/>
          <w:sz w:val="24"/>
          <w:szCs w:val="24"/>
          <w:lang w:val="en-US"/>
        </w:rPr>
        <w:t xml:space="preserve"> Gastroesophageal reflux disease (GERD) is the most frequent chronic gastrointestinal disorder. It is defined as a condition developed when the reflux of gastric contents causes troublesome symptoms (heartburn and regurgitation). </w:t>
      </w:r>
      <w:r>
        <w:rPr>
          <w:bCs/>
          <w:sz w:val="24"/>
          <w:szCs w:val="24"/>
          <w:lang w:val="en-US"/>
        </w:rPr>
        <w:t>Th</w:t>
      </w:r>
      <w:r w:rsidRPr="00E65F0F">
        <w:rPr>
          <w:bCs/>
          <w:sz w:val="24"/>
          <w:szCs w:val="24"/>
          <w:lang w:val="en-US"/>
        </w:rPr>
        <w:t xml:space="preserve">is requires adequate treatment since it can lead to long-term complications including esophagus adenocarcinoma. Proton pump inhibitors (PPI) are generally used to treat GERD due to their high-security profile and efficiency on most patients. However, recurrent reflux despite initial treatment is frequent. N-of-1 trial is a study that allows the identification of the best treatment for each patient. </w:t>
      </w:r>
      <w:r>
        <w:rPr>
          <w:bCs/>
          <w:sz w:val="24"/>
          <w:szCs w:val="24"/>
          <w:lang w:val="en-US"/>
        </w:rPr>
        <w:t>Th</w:t>
      </w:r>
      <w:r w:rsidRPr="00E65F0F">
        <w:rPr>
          <w:bCs/>
          <w:sz w:val="24"/>
          <w:szCs w:val="24"/>
          <w:lang w:val="en-US"/>
        </w:rPr>
        <w:t xml:space="preserve">e objective of this study is to compare the efficacy of standard dose with double dosage of esomeprazole, to improve the GERD symptoms in a single patient. </w:t>
      </w:r>
      <w:r w:rsidRPr="00E65F0F">
        <w:rPr>
          <w:b/>
          <w:sz w:val="24"/>
          <w:szCs w:val="24"/>
          <w:lang w:val="en-US"/>
        </w:rPr>
        <w:t>Methods.</w:t>
      </w:r>
      <w:r w:rsidRPr="00E65F0F">
        <w:rPr>
          <w:bCs/>
          <w:sz w:val="24"/>
          <w:szCs w:val="24"/>
          <w:lang w:val="en-US"/>
        </w:rPr>
        <w:t xml:space="preserve"> A single-patient trial, placebo-controlled, randomized, double-blind, was carried out from September 25th, 2012, to April 26th, 2013. It included one outpatient at the gastroenterology service in a fourth-level hospital, diagnosed with nonerosive reflux disease (NERD). Yet, his symptoms were heartburn and reflux, and his endoscopic results were normal esophageal mucosa, without hiatal hernia, though pathological pH values. A no-obese male without any tobacco or alcohol usage received esomeprazole 40 mg/day and 40 mg/bid for 24 weeks. A standardized gastroesophageal reflux disease questionnaire (</w:t>
      </w:r>
      <w:proofErr w:type="spellStart"/>
      <w:r w:rsidRPr="00E65F0F">
        <w:rPr>
          <w:bCs/>
          <w:sz w:val="24"/>
          <w:szCs w:val="24"/>
          <w:lang w:val="en-US"/>
        </w:rPr>
        <w:t>GerdQ</w:t>
      </w:r>
      <w:proofErr w:type="spellEnd"/>
      <w:r w:rsidRPr="00E65F0F">
        <w:rPr>
          <w:bCs/>
          <w:sz w:val="24"/>
          <w:szCs w:val="24"/>
          <w:lang w:val="en-US"/>
        </w:rPr>
        <w:t xml:space="preserve">) was used weekly to evaluate symptom frequency and severity. </w:t>
      </w:r>
      <w:r>
        <w:rPr>
          <w:bCs/>
          <w:sz w:val="24"/>
          <w:szCs w:val="24"/>
          <w:lang w:val="en-US"/>
        </w:rPr>
        <w:t>Th</w:t>
      </w:r>
      <w:r w:rsidRPr="00E65F0F">
        <w:rPr>
          <w:bCs/>
          <w:sz w:val="24"/>
          <w:szCs w:val="24"/>
          <w:lang w:val="en-US"/>
        </w:rPr>
        <w:t xml:space="preserve">e consumption of 90% of the capsules was considered as an adequate treatment adherence. </w:t>
      </w:r>
      <w:proofErr w:type="spellStart"/>
      <w:r w:rsidRPr="00E65F0F">
        <w:rPr>
          <w:bCs/>
          <w:sz w:val="24"/>
          <w:szCs w:val="24"/>
          <w:lang w:val="en-US"/>
        </w:rPr>
        <w:t>D’agostino</w:t>
      </w:r>
      <w:proofErr w:type="spellEnd"/>
      <w:r w:rsidRPr="00E65F0F">
        <w:rPr>
          <w:bCs/>
          <w:sz w:val="24"/>
          <w:szCs w:val="24"/>
          <w:lang w:val="en-US"/>
        </w:rPr>
        <w:t xml:space="preserve">–Pearson and Wilcoxon test were used to determine normal or </w:t>
      </w:r>
      <w:proofErr w:type="spellStart"/>
      <w:r w:rsidRPr="00E65F0F">
        <w:rPr>
          <w:bCs/>
          <w:sz w:val="24"/>
          <w:szCs w:val="24"/>
          <w:lang w:val="en-US"/>
        </w:rPr>
        <w:t>nonnormal</w:t>
      </w:r>
      <w:proofErr w:type="spellEnd"/>
      <w:r w:rsidRPr="00E65F0F">
        <w:rPr>
          <w:bCs/>
          <w:sz w:val="24"/>
          <w:szCs w:val="24"/>
          <w:lang w:val="en-US"/>
        </w:rPr>
        <w:t xml:space="preserve"> distribution and compare both treatments, respectively, both with a significant statistical difference of p &lt; 0.05. </w:t>
      </w:r>
      <w:r w:rsidRPr="00E65F0F">
        <w:rPr>
          <w:b/>
          <w:sz w:val="24"/>
          <w:szCs w:val="24"/>
          <w:lang w:val="en-US"/>
        </w:rPr>
        <w:t>Results.</w:t>
      </w:r>
      <w:r w:rsidRPr="00E65F0F">
        <w:rPr>
          <w:bCs/>
          <w:sz w:val="24"/>
          <w:szCs w:val="24"/>
          <w:lang w:val="en-US"/>
        </w:rPr>
        <w:t xml:space="preserve"> </w:t>
      </w:r>
      <w:r>
        <w:rPr>
          <w:bCs/>
          <w:sz w:val="24"/>
          <w:szCs w:val="24"/>
          <w:lang w:val="en-US"/>
        </w:rPr>
        <w:t>Th</w:t>
      </w:r>
      <w:r w:rsidRPr="00E65F0F">
        <w:rPr>
          <w:bCs/>
          <w:sz w:val="24"/>
          <w:szCs w:val="24"/>
          <w:lang w:val="en-US"/>
        </w:rPr>
        <w:t xml:space="preserve">e patient completed the study with 96% of adherence. </w:t>
      </w:r>
      <w:r>
        <w:rPr>
          <w:bCs/>
          <w:sz w:val="24"/>
          <w:szCs w:val="24"/>
          <w:lang w:val="en-US"/>
        </w:rPr>
        <w:t>Th</w:t>
      </w:r>
      <w:r w:rsidRPr="00E65F0F">
        <w:rPr>
          <w:bCs/>
          <w:sz w:val="24"/>
          <w:szCs w:val="24"/>
          <w:lang w:val="en-US"/>
        </w:rPr>
        <w:t xml:space="preserve">e double dosage of esomeprazole did not improve the control of symptoms compared with the standard dosage. Mean symptomatic score was 9.5±0.5 and 10.2±0.6 for each treatment, respectively (p &gt; 0.05). </w:t>
      </w:r>
      <w:r w:rsidRPr="00E65F0F">
        <w:rPr>
          <w:b/>
          <w:sz w:val="24"/>
          <w:szCs w:val="24"/>
          <w:lang w:val="en-US"/>
        </w:rPr>
        <w:t>Conclusion.</w:t>
      </w:r>
      <w:r w:rsidRPr="00E65F0F">
        <w:rPr>
          <w:bCs/>
          <w:sz w:val="24"/>
          <w:szCs w:val="24"/>
          <w:lang w:val="en-US"/>
        </w:rPr>
        <w:t xml:space="preserve"> </w:t>
      </w:r>
      <w:r>
        <w:rPr>
          <w:bCs/>
          <w:sz w:val="24"/>
          <w:szCs w:val="24"/>
          <w:lang w:val="en-US"/>
        </w:rPr>
        <w:t>Th</w:t>
      </w:r>
      <w:r w:rsidRPr="00E65F0F">
        <w:rPr>
          <w:bCs/>
          <w:sz w:val="24"/>
          <w:szCs w:val="24"/>
          <w:lang w:val="en-US"/>
        </w:rPr>
        <w:t>ere was no significant improvement in the patient GERD symptoms increasing the dose of oral esomeprazole during the 6 months of study. N-of-1 trials in chronic pathologies including GERD are recommended due to their potential value as systematic methods that evaluate therapies without strong scientific evidence.</w:t>
      </w:r>
    </w:p>
    <w:p w:rsidR="00382361" w:rsidRPr="00E65F0F" w:rsidRDefault="00E65F0F" w:rsidP="00E65F0F">
      <w:pPr>
        <w:autoSpaceDE w:val="0"/>
        <w:autoSpaceDN w:val="0"/>
        <w:adjustRightInd w:val="0"/>
        <w:spacing w:after="0"/>
        <w:jc w:val="both"/>
        <w:rPr>
          <w:lang w:val="en-US"/>
        </w:rPr>
      </w:pPr>
    </w:p>
    <w:sectPr w:rsidR="00382361" w:rsidRPr="00E65F0F" w:rsidSect="0015154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0F"/>
    <w:rsid w:val="00151543"/>
    <w:rsid w:val="00E65F0F"/>
    <w:rsid w:val="00EB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5800208"/>
  <w15:chartTrackingRefBased/>
  <w15:docId w15:val="{C36121C5-63E9-2C49-A60B-6B4F8FBEE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F0F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385</Words>
  <Characters>2123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Perez</dc:creator>
  <cp:keywords/>
  <dc:description/>
  <cp:lastModifiedBy>Erika Perez</cp:lastModifiedBy>
  <cp:revision>1</cp:revision>
  <dcterms:created xsi:type="dcterms:W3CDTF">2020-01-27T12:39:00Z</dcterms:created>
  <dcterms:modified xsi:type="dcterms:W3CDTF">2020-01-27T12:43:00Z</dcterms:modified>
</cp:coreProperties>
</file>