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51CA" w:rsidRDefault="003B4E64" w:rsidP="006A51CA">
      <w:pPr>
        <w:jc w:val="both"/>
        <w:rPr>
          <w:b/>
          <w:sz w:val="28"/>
          <w:szCs w:val="28"/>
        </w:rPr>
      </w:pPr>
      <w:r>
        <w:rPr>
          <w:rFonts w:eastAsia="MS PGothic"/>
          <w:b/>
          <w:color w:val="000000"/>
          <w:sz w:val="28"/>
          <w:szCs w:val="28"/>
        </w:rPr>
        <w:t xml:space="preserve">                                                                                                      </w:t>
      </w:r>
      <w:r w:rsidRPr="003B4E64">
        <w:rPr>
          <w:rFonts w:eastAsia="MS PGothic"/>
          <w:b/>
          <w:noProof/>
          <w:color w:val="000000"/>
          <w:sz w:val="28"/>
          <w:szCs w:val="28"/>
        </w:rPr>
        <w:drawing>
          <wp:inline distT="0" distB="0" distL="0" distR="0" wp14:anchorId="385ECC02" wp14:editId="27C53215">
            <wp:extent cx="1314450" cy="1314450"/>
            <wp:effectExtent l="0" t="0" r="0" b="0"/>
            <wp:docPr id="1" name="Picture 1" descr="C:\Users\Sampson\Desktop\New Desktop\Tafo Crig\IMG_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pson\Desktop\New Desktop\Tafo Crig\IMG_083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r>
        <w:rPr>
          <w:rFonts w:eastAsia="MS PGothic"/>
          <w:b/>
          <w:color w:val="000000"/>
          <w:sz w:val="28"/>
          <w:szCs w:val="28"/>
        </w:rPr>
        <w:t xml:space="preserve">         </w:t>
      </w:r>
      <w:r w:rsidR="006A51CA">
        <w:rPr>
          <w:rFonts w:eastAsia="MS PGothic"/>
          <w:b/>
          <w:color w:val="000000"/>
          <w:sz w:val="28"/>
          <w:szCs w:val="28"/>
        </w:rPr>
        <w:t>Title:</w:t>
      </w:r>
      <w:r w:rsidR="006A51CA">
        <w:rPr>
          <w:rFonts w:eastAsia="MS PGothic"/>
          <w:b/>
          <w:color w:val="000000"/>
          <w:sz w:val="28"/>
          <w:szCs w:val="28"/>
        </w:rPr>
        <w:t xml:space="preserve"> </w:t>
      </w:r>
      <w:r w:rsidR="006A51CA" w:rsidRPr="003B4E64">
        <w:rPr>
          <w:b/>
          <w:sz w:val="28"/>
          <w:szCs w:val="28"/>
        </w:rPr>
        <w:t>Butterfly community assemblage of Mowire Quarry Site in central Ghana: response of indicator biodiversity to ongoing quarry operations.</w:t>
      </w:r>
    </w:p>
    <w:p w:rsidR="003B4E64" w:rsidRDefault="003B4E64" w:rsidP="003B4E64">
      <w:pPr>
        <w:rPr>
          <w:rFonts w:eastAsia="MS PGothic" w:hAnsi="Arial"/>
          <w:color w:val="000000"/>
        </w:rPr>
      </w:pPr>
      <w:r>
        <w:rPr>
          <w:rFonts w:eastAsia="MS PGothic"/>
          <w:b/>
          <w:color w:val="000000"/>
          <w:sz w:val="28"/>
          <w:szCs w:val="28"/>
        </w:rPr>
        <w:t xml:space="preserve">                                       </w:t>
      </w:r>
      <w:r>
        <w:rPr>
          <w:b/>
          <w:sz w:val="28"/>
          <w:szCs w:val="28"/>
        </w:rPr>
        <w:t xml:space="preserve">   </w:t>
      </w:r>
      <w:r>
        <w:rPr>
          <w:rFonts w:eastAsia="MS PGothic" w:hAnsi="Arial"/>
          <w:color w:val="000000"/>
        </w:rPr>
        <w:t>Name: Sampson Addae</w:t>
      </w:r>
    </w:p>
    <w:p w:rsidR="003B4E64" w:rsidRDefault="003B4E64" w:rsidP="003B4E64">
      <w:pPr>
        <w:rPr>
          <w:rFonts w:eastAsia="MS PGothic" w:hAnsi="Arial"/>
          <w:color w:val="000000"/>
        </w:rPr>
      </w:pPr>
      <w:r>
        <w:rPr>
          <w:b/>
          <w:sz w:val="28"/>
          <w:szCs w:val="28"/>
        </w:rPr>
        <w:t xml:space="preserve">                                      </w:t>
      </w:r>
      <w:r>
        <w:rPr>
          <w:rFonts w:eastAsia="MS PGothic" w:hAnsi="Arial"/>
          <w:color w:val="000000"/>
        </w:rPr>
        <w:t>University Ghana, Accra, Ghana</w:t>
      </w:r>
    </w:p>
    <w:p w:rsidR="003B4E64" w:rsidRDefault="003B4E64" w:rsidP="003B4E64">
      <w:pPr>
        <w:spacing w:line="480" w:lineRule="auto"/>
        <w:jc w:val="both"/>
        <w:rPr>
          <w:rStyle w:val="word"/>
        </w:rPr>
      </w:pPr>
      <w:r w:rsidRPr="00BC49F3">
        <w:t xml:space="preserve">Habitat loss through deforestation, urbanization, pollution and use of chemicals in agro ecosystems affect insect population dynamics, distribution, abundance and richness.  </w:t>
      </w:r>
      <w:r w:rsidRPr="00BC49F3">
        <w:rPr>
          <w:rStyle w:val="word"/>
        </w:rPr>
        <w:t xml:space="preserve">Like mining and forest logging, quarrying for rocks and gravel may cause serious environmental impacts on invertebrate communities as well as </w:t>
      </w:r>
      <w:r w:rsidRPr="00BC49F3">
        <w:t>contribute negatively to habitat destruction and the species they promote</w:t>
      </w:r>
      <w:r w:rsidRPr="00BC49F3">
        <w:rPr>
          <w:rStyle w:val="word"/>
        </w:rPr>
        <w:t xml:space="preserve"> but very little is still known about the response of butterflies to such disturbances in western Africa.</w:t>
      </w:r>
      <w:r w:rsidRPr="00BC49F3">
        <w:t xml:space="preserve"> </w:t>
      </w:r>
      <w:r w:rsidRPr="00BC49F3">
        <w:rPr>
          <w:rStyle w:val="word"/>
        </w:rPr>
        <w:t xml:space="preserve">  Butterflies are known bioindicator species used as surrogates to measure the level of changes in the vegetation within the ecosystem. The current study provides data from a baseline survey of butterflies at Mowire quarry site in central Ghana and investigates the effects of ongoing quarry operations on butterfly diversity. Specifically</w:t>
      </w:r>
      <w:r>
        <w:rPr>
          <w:rStyle w:val="word"/>
        </w:rPr>
        <w:t>,</w:t>
      </w:r>
      <w:r w:rsidRPr="00BC49F3">
        <w:rPr>
          <w:rStyle w:val="word"/>
        </w:rPr>
        <w:t xml:space="preserve">  quarry operation</w:t>
      </w:r>
      <w:r>
        <w:rPr>
          <w:rStyle w:val="word"/>
        </w:rPr>
        <w:t>s were assessed</w:t>
      </w:r>
      <w:r w:rsidRPr="00BC49F3">
        <w:rPr>
          <w:rStyle w:val="word"/>
        </w:rPr>
        <w:t xml:space="preserve"> on species abundance and richness and </w:t>
      </w:r>
      <w:r>
        <w:rPr>
          <w:rStyle w:val="word"/>
        </w:rPr>
        <w:t xml:space="preserve">as well </w:t>
      </w:r>
      <w:r w:rsidRPr="00BC49F3">
        <w:rPr>
          <w:rStyle w:val="word"/>
        </w:rPr>
        <w:t>tested  using a combination of targeted fieldwork</w:t>
      </w:r>
      <w:r>
        <w:rPr>
          <w:rStyle w:val="word"/>
        </w:rPr>
        <w:t xml:space="preserve"> approaches</w:t>
      </w:r>
      <w:r w:rsidRPr="00BC49F3">
        <w:rPr>
          <w:rStyle w:val="word"/>
        </w:rPr>
        <w:t xml:space="preserve"> (transect walk-and-count methods and Charaxes traps in three zones equaling discrete disturbance categories from not disturbed to heavily disturbed) and morphological species identifications. We recorded a total of 417 individual butt</w:t>
      </w:r>
      <w:r>
        <w:rPr>
          <w:rStyle w:val="word"/>
        </w:rPr>
        <w:t>erflies belonging to 67 sp</w:t>
      </w:r>
      <w:r w:rsidRPr="00BC49F3">
        <w:rPr>
          <w:rStyle w:val="word"/>
        </w:rPr>
        <w:t>ecies from five families whose abundance and distribution varied extensively in the three disturbance zones. The high abundance of individuals in t</w:t>
      </w:r>
      <w:r>
        <w:rPr>
          <w:rStyle w:val="word"/>
        </w:rPr>
        <w:t xml:space="preserve">he Eastern </w:t>
      </w:r>
      <w:bookmarkStart w:id="0" w:name="_GoBack"/>
      <w:bookmarkEnd w:id="0"/>
      <w:r w:rsidRPr="00BC49F3">
        <w:rPr>
          <w:rStyle w:val="word"/>
        </w:rPr>
        <w:t>zone</w:t>
      </w:r>
      <w:r>
        <w:rPr>
          <w:rStyle w:val="word"/>
        </w:rPr>
        <w:t xml:space="preserve"> (EZ)</w:t>
      </w:r>
      <w:r w:rsidRPr="00BC49F3">
        <w:rPr>
          <w:rStyle w:val="word"/>
        </w:rPr>
        <w:t xml:space="preserve"> (N = 329), high species numbers (S = 55) and  low Shannon Weiner index (H’) of 2.616 corroborated in the </w:t>
      </w:r>
      <w:r>
        <w:rPr>
          <w:rStyle w:val="word"/>
        </w:rPr>
        <w:t>Western zone (</w:t>
      </w:r>
      <w:r w:rsidRPr="00BC49F3">
        <w:rPr>
          <w:rStyle w:val="word"/>
        </w:rPr>
        <w:t>W</w:t>
      </w:r>
      <w:r>
        <w:rPr>
          <w:rStyle w:val="word"/>
        </w:rPr>
        <w:t>Z)</w:t>
      </w:r>
      <w:r w:rsidRPr="00BC49F3">
        <w:rPr>
          <w:rStyle w:val="word"/>
        </w:rPr>
        <w:t xml:space="preserve"> with low species numbers (S </w:t>
      </w:r>
      <w:r w:rsidRPr="00BC49F3">
        <w:rPr>
          <w:rStyle w:val="word"/>
        </w:rPr>
        <w:lastRenderedPageBreak/>
        <w:t>= 22), low abundance (N= 41) and high diversity (H’) of 2.807.  Species diversity and abundance decreased according to the level of disturbance in ES and WS zones respectfully.</w:t>
      </w:r>
    </w:p>
    <w:p w:rsidR="003B4E64" w:rsidRDefault="003B4E64" w:rsidP="003B4E64">
      <w:pPr>
        <w:spacing w:line="480" w:lineRule="auto"/>
        <w:jc w:val="both"/>
        <w:rPr>
          <w:rStyle w:val="word"/>
        </w:rPr>
      </w:pPr>
    </w:p>
    <w:p w:rsidR="003B4E64" w:rsidRDefault="003B4E64" w:rsidP="003B4E64">
      <w:pPr>
        <w:jc w:val="both"/>
        <w:rPr>
          <w:b/>
        </w:rPr>
      </w:pPr>
      <w:r>
        <w:rPr>
          <w:b/>
        </w:rPr>
        <w:t>Biography</w:t>
      </w:r>
    </w:p>
    <w:p w:rsidR="003B4E64" w:rsidRDefault="003B4E64" w:rsidP="003B4E64">
      <w:pPr>
        <w:jc w:val="both"/>
        <w:rPr>
          <w:b/>
        </w:rPr>
      </w:pPr>
    </w:p>
    <w:p w:rsidR="003B4E64" w:rsidRDefault="003B4E64" w:rsidP="003B4E64">
      <w:pPr>
        <w:jc w:val="both"/>
      </w:pPr>
      <w:r>
        <w:t xml:space="preserve">Sampson Addae has completed his Mphil Entomology from University of Ghana and BSc Agriculture Science from Kwame Nkrumah University of Science and Technology. He is the Head of research, pricing and monitoring at the Chamber of petroleum consumers Ghana (COPEC), was a research assistant at the Forest and Horticultural Crop Research Center (FOHCRE) Kade and Assistant Agriculture Extension officer at the ministery of Local Government Gomoa East Ghana. </w:t>
      </w:r>
      <w:r>
        <w:tab/>
      </w:r>
    </w:p>
    <w:p w:rsidR="003B4E64" w:rsidRDefault="003B4E64" w:rsidP="003B4E64">
      <w:pPr>
        <w:spacing w:line="480" w:lineRule="auto"/>
        <w:jc w:val="both"/>
        <w:rPr>
          <w:rStyle w:val="word"/>
        </w:rPr>
      </w:pPr>
    </w:p>
    <w:p w:rsidR="003B4E64" w:rsidRPr="008A690F" w:rsidRDefault="003B4E64" w:rsidP="003B4E64">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Sampson Addae</w:t>
      </w:r>
      <w:r w:rsidRPr="008A690F">
        <w:rPr>
          <w:lang w:val="en-NZ"/>
        </w:rPr>
        <w:br/>
        <w:t>Contact number:</w:t>
      </w:r>
      <w:r>
        <w:rPr>
          <w:lang w:val="en-NZ"/>
        </w:rPr>
        <w:t xml:space="preserve"> +233247761830</w:t>
      </w:r>
      <w:r w:rsidRPr="008A690F">
        <w:rPr>
          <w:lang w:val="en-NZ"/>
        </w:rPr>
        <w:br/>
        <w:t>Twitter account:</w:t>
      </w:r>
      <w:r>
        <w:rPr>
          <w:lang w:val="en-NZ"/>
        </w:rPr>
        <w:t xml:space="preserve"> sampsona42</w:t>
      </w:r>
      <w:r w:rsidRPr="008A690F">
        <w:rPr>
          <w:lang w:val="en-NZ"/>
        </w:rPr>
        <w:br/>
        <w:t>Linked In account:</w:t>
      </w:r>
      <w:r>
        <w:rPr>
          <w:lang w:val="en-NZ"/>
        </w:rPr>
        <w:t xml:space="preserve"> Sampson Addae</w:t>
      </w:r>
    </w:p>
    <w:p w:rsidR="003B4E64" w:rsidRDefault="003B4E64" w:rsidP="003B4E64">
      <w:pPr>
        <w:autoSpaceDE w:val="0"/>
        <w:autoSpaceDN w:val="0"/>
        <w:adjustRightInd w:val="0"/>
        <w:rPr>
          <w:lang w:val="en-NZ"/>
        </w:rPr>
      </w:pPr>
      <w:r w:rsidRPr="008A690F">
        <w:rPr>
          <w:lang w:val="en-NZ"/>
        </w:rPr>
        <w:t>Session name/ number:</w:t>
      </w:r>
      <w:r w:rsidRPr="008A690F">
        <w:rPr>
          <w:lang w:val="en-NZ"/>
        </w:rPr>
        <w:br/>
        <w:t>Category: (Oral presentation/ Poster presentation)</w:t>
      </w:r>
      <w:r>
        <w:rPr>
          <w:lang w:val="en-NZ"/>
        </w:rPr>
        <w:br/>
      </w:r>
    </w:p>
    <w:p w:rsidR="003B4E64" w:rsidRPr="00BC49F3" w:rsidRDefault="003B4E64" w:rsidP="003B4E64">
      <w:pPr>
        <w:spacing w:line="480" w:lineRule="auto"/>
        <w:jc w:val="both"/>
        <w:rPr>
          <w:rStyle w:val="word"/>
        </w:rPr>
      </w:pPr>
    </w:p>
    <w:p w:rsidR="003B4E64" w:rsidRPr="003B4E64" w:rsidRDefault="003B4E64" w:rsidP="006A51CA">
      <w:pPr>
        <w:jc w:val="both"/>
        <w:rPr>
          <w:rFonts w:eastAsia="MS PGothic"/>
          <w:b/>
          <w:color w:val="000000"/>
          <w:sz w:val="28"/>
          <w:szCs w:val="28"/>
        </w:rPr>
      </w:pPr>
    </w:p>
    <w:p w:rsidR="00804DC6" w:rsidRPr="003B4E64" w:rsidRDefault="003B4E64">
      <w:pPr>
        <w:rPr>
          <w:sz w:val="28"/>
          <w:szCs w:val="28"/>
        </w:rPr>
      </w:pPr>
    </w:p>
    <w:sectPr w:rsidR="00804DC6" w:rsidRPr="003B4E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51CA"/>
    <w:rsid w:val="001C61C3"/>
    <w:rsid w:val="0027486A"/>
    <w:rsid w:val="003B4E64"/>
    <w:rsid w:val="00420968"/>
    <w:rsid w:val="005C0F6A"/>
    <w:rsid w:val="006A5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9B0BC2-A5A7-4F2C-9585-BE092F51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1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ord">
    <w:name w:val="word"/>
    <w:basedOn w:val="DefaultParagraphFont"/>
    <w:rsid w:val="005C0F6A"/>
  </w:style>
  <w:style w:type="paragraph" w:styleId="NoSpacing">
    <w:name w:val="No Spacing"/>
    <w:uiPriority w:val="1"/>
    <w:qFormat/>
    <w:rsid w:val="005C0F6A"/>
    <w:pPr>
      <w:spacing w:after="0" w:line="240" w:lineRule="auto"/>
    </w:pPr>
    <w:rPr>
      <w:position w:val="2"/>
    </w:rPr>
  </w:style>
  <w:style w:type="character" w:styleId="CommentReference">
    <w:name w:val="annotation reference"/>
    <w:basedOn w:val="DefaultParagraphFont"/>
    <w:uiPriority w:val="99"/>
    <w:semiHidden/>
    <w:unhideWhenUsed/>
    <w:rsid w:val="003B4E64"/>
    <w:rPr>
      <w:sz w:val="18"/>
      <w:szCs w:val="18"/>
    </w:rPr>
  </w:style>
  <w:style w:type="paragraph" w:styleId="CommentText">
    <w:name w:val="annotation text"/>
    <w:basedOn w:val="Normal"/>
    <w:link w:val="CommentTextChar"/>
    <w:uiPriority w:val="99"/>
    <w:semiHidden/>
    <w:unhideWhenUsed/>
    <w:rsid w:val="003B4E64"/>
    <w:pPr>
      <w:spacing w:line="240" w:lineRule="auto"/>
    </w:pPr>
  </w:style>
  <w:style w:type="character" w:customStyle="1" w:styleId="CommentTextChar">
    <w:name w:val="Comment Text Char"/>
    <w:basedOn w:val="DefaultParagraphFont"/>
    <w:link w:val="CommentText"/>
    <w:uiPriority w:val="99"/>
    <w:semiHidden/>
    <w:rsid w:val="003B4E64"/>
  </w:style>
  <w:style w:type="paragraph" w:styleId="BalloonText">
    <w:name w:val="Balloon Text"/>
    <w:basedOn w:val="Normal"/>
    <w:link w:val="BalloonTextChar"/>
    <w:uiPriority w:val="99"/>
    <w:semiHidden/>
    <w:unhideWhenUsed/>
    <w:rsid w:val="003B4E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E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418</Words>
  <Characters>2389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Sampson Addae</dc:creator>
  <cp:keywords/>
  <dc:description/>
  <cp:lastModifiedBy>Sampson Addae</cp:lastModifiedBy>
  <cp:revision>1</cp:revision>
  <dcterms:created xsi:type="dcterms:W3CDTF">2020-03-15T14:46:00Z</dcterms:created>
  <dcterms:modified xsi:type="dcterms:W3CDTF">2020-03-15T15:13:00Z</dcterms:modified>
</cp:coreProperties>
</file>