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67F8C8" w14:textId="0DD0E2EF" w:rsidR="00912288" w:rsidRPr="007D140D" w:rsidRDefault="00912288">
      <w:pPr>
        <w:rPr>
          <w:rFonts w:cstheme="minorHAnsi"/>
        </w:rPr>
      </w:pPr>
      <w:r w:rsidRPr="007D140D">
        <w:rPr>
          <w:rFonts w:cstheme="minorHAnsi"/>
        </w:rPr>
        <w:t xml:space="preserve">The implications of perception and voice in transsexuals </w:t>
      </w:r>
    </w:p>
    <w:p w14:paraId="188830D2" w14:textId="77777777" w:rsidR="00912288" w:rsidRPr="007D140D" w:rsidRDefault="00912288">
      <w:pPr>
        <w:rPr>
          <w:rFonts w:cstheme="minorHAnsi"/>
        </w:rPr>
      </w:pPr>
    </w:p>
    <w:p w14:paraId="02F4F7F4" w14:textId="40304732" w:rsidR="00912288" w:rsidRPr="007D140D" w:rsidRDefault="00912288">
      <w:pPr>
        <w:rPr>
          <w:rFonts w:cstheme="minorHAnsi"/>
        </w:rPr>
      </w:pPr>
      <w:r w:rsidRPr="007D140D">
        <w:rPr>
          <w:rFonts w:cstheme="minorHAnsi"/>
        </w:rPr>
        <w:t xml:space="preserve">The perception of voice has been shown to be the single most important factor in terms of patient satisfaction in the transsexual population post gender transition. </w:t>
      </w:r>
      <w:r w:rsidR="007D140D" w:rsidRPr="007D140D">
        <w:rPr>
          <w:rFonts w:cstheme="minorHAnsi"/>
        </w:rPr>
        <w:t xml:space="preserve">There are several factors, both intrinsic and extrinsic, that relate to the perception of voice. There have been a multitude of studies based on the aforementioned principle, however of importance the role of the visual input has not been properly studied when relating to voice perception. After a literature review surrounding this topic, the role of individual aspects which form the components of voice perception were identified, and the effects of the most commonly used therapeutic interventions highlighted. </w:t>
      </w:r>
    </w:p>
    <w:p w14:paraId="1728125F" w14:textId="77558BBE" w:rsidR="007D140D" w:rsidRPr="007D140D" w:rsidRDefault="007D140D">
      <w:pPr>
        <w:rPr>
          <w:rFonts w:cstheme="minorHAnsi"/>
        </w:rPr>
      </w:pPr>
    </w:p>
    <w:p w14:paraId="27DEF1EF" w14:textId="7476DD76" w:rsidR="007D140D" w:rsidRPr="007D140D" w:rsidRDefault="007D140D">
      <w:pPr>
        <w:rPr>
          <w:rFonts w:cstheme="minorHAnsi"/>
        </w:rPr>
      </w:pPr>
      <w:r w:rsidRPr="007D140D">
        <w:rPr>
          <w:rFonts w:cstheme="minorHAnsi"/>
        </w:rPr>
        <w:t>Conclusion and significance: the role of the visual input in voice perception has been omitted in the most researc</w:t>
      </w:r>
      <w:bookmarkStart w:id="0" w:name="_GoBack"/>
      <w:bookmarkEnd w:id="0"/>
      <w:r w:rsidRPr="007D140D">
        <w:rPr>
          <w:rFonts w:cstheme="minorHAnsi"/>
        </w:rPr>
        <w:t xml:space="preserve">h relating to voice perception, further studies are required relating to this. </w:t>
      </w:r>
    </w:p>
    <w:p w14:paraId="0F1ADEAC" w14:textId="14DD280E" w:rsidR="007D140D" w:rsidRPr="007D140D" w:rsidRDefault="007D140D">
      <w:pPr>
        <w:rPr>
          <w:rFonts w:cstheme="minorHAnsi"/>
        </w:rPr>
      </w:pPr>
    </w:p>
    <w:p w14:paraId="4C4CFC52" w14:textId="246B1661" w:rsidR="007D140D" w:rsidRPr="007D140D" w:rsidRDefault="007D140D" w:rsidP="007D140D">
      <w:pPr>
        <w:pStyle w:val="ListParagraph"/>
        <w:numPr>
          <w:ilvl w:val="0"/>
          <w:numId w:val="1"/>
        </w:numPr>
        <w:rPr>
          <w:rFonts w:cstheme="minorHAnsi"/>
        </w:rPr>
      </w:pPr>
      <w:r w:rsidRPr="007D140D">
        <w:rPr>
          <w:rFonts w:cstheme="minorHAnsi"/>
        </w:rPr>
        <w:t xml:space="preserve">Nolan, I., </w:t>
      </w:r>
      <w:proofErr w:type="spellStart"/>
      <w:r w:rsidRPr="007D140D">
        <w:rPr>
          <w:rFonts w:cstheme="minorHAnsi"/>
        </w:rPr>
        <w:t>Kuhner</w:t>
      </w:r>
      <w:proofErr w:type="spellEnd"/>
      <w:r w:rsidRPr="007D140D">
        <w:rPr>
          <w:rFonts w:cstheme="minorHAnsi"/>
        </w:rPr>
        <w:t>, C. and Dy, G., 2019. Demographic and temporal trends in transgender identities and gender confirming surgery. </w:t>
      </w:r>
      <w:r w:rsidRPr="007D140D">
        <w:rPr>
          <w:rFonts w:cstheme="minorHAnsi"/>
          <w:i/>
          <w:iCs/>
        </w:rPr>
        <w:t>Translational Andrology and Urology</w:t>
      </w:r>
      <w:r w:rsidRPr="007D140D">
        <w:rPr>
          <w:rFonts w:cstheme="minorHAnsi"/>
        </w:rPr>
        <w:t>, 8(3), pp.184-190.</w:t>
      </w:r>
    </w:p>
    <w:p w14:paraId="3B46479A" w14:textId="77777777" w:rsidR="007D140D" w:rsidRPr="007D140D" w:rsidRDefault="007D140D" w:rsidP="007D140D">
      <w:pPr>
        <w:pStyle w:val="ListParagraph"/>
        <w:rPr>
          <w:rFonts w:cstheme="minorHAnsi"/>
        </w:rPr>
      </w:pPr>
    </w:p>
    <w:p w14:paraId="67C97EBD" w14:textId="14CC4A87" w:rsidR="007D140D" w:rsidRPr="007D140D" w:rsidRDefault="007D140D" w:rsidP="007D140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140" w:line="288" w:lineRule="auto"/>
        <w:rPr>
          <w:rFonts w:cstheme="minorHAnsi"/>
        </w:rPr>
      </w:pPr>
      <w:proofErr w:type="spellStart"/>
      <w:r w:rsidRPr="007D140D">
        <w:rPr>
          <w:rFonts w:cstheme="minorHAnsi"/>
        </w:rPr>
        <w:t>Dacakis</w:t>
      </w:r>
      <w:proofErr w:type="spellEnd"/>
      <w:r w:rsidRPr="007D140D">
        <w:rPr>
          <w:rFonts w:cstheme="minorHAnsi"/>
        </w:rPr>
        <w:t xml:space="preserve">, G., Oates, J. and Douglas, J. (2012) ‘Beyond voice: Perceptions of gender in male-to-female transsexuals’, </w:t>
      </w:r>
      <w:r w:rsidRPr="007D140D">
        <w:rPr>
          <w:rFonts w:cstheme="minorHAnsi"/>
          <w:i/>
          <w:iCs/>
        </w:rPr>
        <w:t>Current Opinion in Otolaryngology and Head and Neck Surgery</w:t>
      </w:r>
      <w:r w:rsidRPr="007D140D">
        <w:rPr>
          <w:rFonts w:cstheme="minorHAnsi"/>
        </w:rPr>
        <w:t xml:space="preserve">, 20(3), pp. 165–170. </w:t>
      </w:r>
      <w:proofErr w:type="spellStart"/>
      <w:r w:rsidRPr="007D140D">
        <w:rPr>
          <w:rFonts w:cstheme="minorHAnsi"/>
        </w:rPr>
        <w:t>doi</w:t>
      </w:r>
      <w:proofErr w:type="spellEnd"/>
      <w:r w:rsidRPr="007D140D">
        <w:rPr>
          <w:rFonts w:cstheme="minorHAnsi"/>
        </w:rPr>
        <w:t>: 10.1097/MOO.0b013e3283530f85.</w:t>
      </w:r>
    </w:p>
    <w:p w14:paraId="36427230" w14:textId="77777777" w:rsidR="007D140D" w:rsidRPr="007D140D" w:rsidRDefault="007D140D" w:rsidP="007D140D">
      <w:pPr>
        <w:pStyle w:val="ListParagraph"/>
        <w:rPr>
          <w:rFonts w:cstheme="minorHAnsi"/>
        </w:rPr>
      </w:pPr>
    </w:p>
    <w:p w14:paraId="7C53CF3E" w14:textId="77777777" w:rsidR="007D140D" w:rsidRPr="007D140D" w:rsidRDefault="007D140D" w:rsidP="007D140D">
      <w:pPr>
        <w:pStyle w:val="ListParagraph"/>
        <w:widowControl w:val="0"/>
        <w:autoSpaceDE w:val="0"/>
        <w:autoSpaceDN w:val="0"/>
        <w:adjustRightInd w:val="0"/>
        <w:spacing w:after="140" w:line="288" w:lineRule="auto"/>
        <w:rPr>
          <w:rFonts w:cstheme="minorHAnsi"/>
        </w:rPr>
      </w:pPr>
    </w:p>
    <w:p w14:paraId="51E6AD85" w14:textId="77777777" w:rsidR="007D140D" w:rsidRPr="007D140D" w:rsidRDefault="007D140D" w:rsidP="007D140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140" w:line="288" w:lineRule="auto"/>
        <w:rPr>
          <w:rFonts w:cstheme="minorHAnsi"/>
        </w:rPr>
      </w:pPr>
      <w:r w:rsidRPr="007D140D">
        <w:rPr>
          <w:rFonts w:cstheme="minorHAnsi"/>
        </w:rPr>
        <w:t xml:space="preserve">Leung, Y., Oates, J. and Chan, S. P. (2018) ‘Voice, articulation, and prosody contribute to listener perceptions of speaker gender: A systematic review and meta-analysis’, </w:t>
      </w:r>
      <w:r w:rsidRPr="007D140D">
        <w:rPr>
          <w:rFonts w:cstheme="minorHAnsi"/>
          <w:i/>
          <w:iCs/>
        </w:rPr>
        <w:t>Journal of Speech, Language, and Hearing Research</w:t>
      </w:r>
      <w:r w:rsidRPr="007D140D">
        <w:rPr>
          <w:rFonts w:cstheme="minorHAnsi"/>
        </w:rPr>
        <w:t xml:space="preserve">, 61(2), pp. 266–297. </w:t>
      </w:r>
      <w:proofErr w:type="spellStart"/>
      <w:r w:rsidRPr="007D140D">
        <w:rPr>
          <w:rFonts w:cstheme="minorHAnsi"/>
        </w:rPr>
        <w:t>doi</w:t>
      </w:r>
      <w:proofErr w:type="spellEnd"/>
      <w:r w:rsidRPr="007D140D">
        <w:rPr>
          <w:rFonts w:cstheme="minorHAnsi"/>
        </w:rPr>
        <w:t>: 10.1044/2017_JSLHR-S-17-0067.</w:t>
      </w:r>
    </w:p>
    <w:p w14:paraId="199BB025" w14:textId="77777777" w:rsidR="007D140D" w:rsidRPr="007D140D" w:rsidRDefault="007D140D" w:rsidP="007D140D">
      <w:pPr>
        <w:widowControl w:val="0"/>
        <w:autoSpaceDE w:val="0"/>
        <w:autoSpaceDN w:val="0"/>
        <w:adjustRightInd w:val="0"/>
        <w:rPr>
          <w:rFonts w:cstheme="minorHAnsi"/>
        </w:rPr>
      </w:pPr>
    </w:p>
    <w:p w14:paraId="04C13358" w14:textId="77777777" w:rsidR="007D140D" w:rsidRPr="007D140D" w:rsidRDefault="007D140D" w:rsidP="007D140D">
      <w:pPr>
        <w:widowControl w:val="0"/>
        <w:autoSpaceDE w:val="0"/>
        <w:autoSpaceDN w:val="0"/>
        <w:adjustRightInd w:val="0"/>
        <w:rPr>
          <w:rFonts w:cstheme="minorHAnsi"/>
        </w:rPr>
      </w:pPr>
    </w:p>
    <w:p w14:paraId="02DB576B" w14:textId="77777777" w:rsidR="007D140D" w:rsidRPr="007D140D" w:rsidRDefault="007D140D" w:rsidP="007D140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140" w:line="288" w:lineRule="auto"/>
        <w:rPr>
          <w:rFonts w:cstheme="minorHAnsi"/>
        </w:rPr>
      </w:pPr>
      <w:r w:rsidRPr="007D140D">
        <w:rPr>
          <w:rFonts w:cstheme="minorHAnsi"/>
        </w:rPr>
        <w:t xml:space="preserve">Meister, J. </w:t>
      </w:r>
      <w:r w:rsidRPr="007D140D">
        <w:rPr>
          <w:rFonts w:cstheme="minorHAnsi"/>
          <w:i/>
          <w:iCs/>
        </w:rPr>
        <w:t>et al.</w:t>
      </w:r>
      <w:r w:rsidRPr="007D140D">
        <w:rPr>
          <w:rFonts w:cstheme="minorHAnsi"/>
        </w:rPr>
        <w:t xml:space="preserve"> (2017) ‘Perceptual analysis of the male-to-female transgender voice after </w:t>
      </w:r>
      <w:proofErr w:type="spellStart"/>
      <w:r w:rsidRPr="007D140D">
        <w:rPr>
          <w:rFonts w:cstheme="minorHAnsi"/>
        </w:rPr>
        <w:t>glottoplasty</w:t>
      </w:r>
      <w:proofErr w:type="spellEnd"/>
      <w:r w:rsidRPr="007D140D">
        <w:rPr>
          <w:rFonts w:cstheme="minorHAnsi"/>
        </w:rPr>
        <w:t xml:space="preserve">—the telephone test’, </w:t>
      </w:r>
      <w:r w:rsidRPr="007D140D">
        <w:rPr>
          <w:rFonts w:cstheme="minorHAnsi"/>
          <w:i/>
          <w:iCs/>
        </w:rPr>
        <w:t>Laryngoscope</w:t>
      </w:r>
      <w:r w:rsidRPr="007D140D">
        <w:rPr>
          <w:rFonts w:cstheme="minorHAnsi"/>
        </w:rPr>
        <w:t xml:space="preserve">, 127(4), pp. 875–881. </w:t>
      </w:r>
      <w:proofErr w:type="spellStart"/>
      <w:r w:rsidRPr="007D140D">
        <w:rPr>
          <w:rFonts w:cstheme="minorHAnsi"/>
        </w:rPr>
        <w:t>doi</w:t>
      </w:r>
      <w:proofErr w:type="spellEnd"/>
      <w:r w:rsidRPr="007D140D">
        <w:rPr>
          <w:rFonts w:cstheme="minorHAnsi"/>
        </w:rPr>
        <w:t>: 10.1002/lary.26110.</w:t>
      </w:r>
    </w:p>
    <w:p w14:paraId="33B549F0" w14:textId="77777777" w:rsidR="007D140D" w:rsidRPr="007D140D" w:rsidRDefault="007D140D" w:rsidP="007D140D">
      <w:pPr>
        <w:widowControl w:val="0"/>
        <w:autoSpaceDE w:val="0"/>
        <w:autoSpaceDN w:val="0"/>
        <w:adjustRightInd w:val="0"/>
        <w:rPr>
          <w:rFonts w:cstheme="minorHAnsi"/>
        </w:rPr>
      </w:pPr>
    </w:p>
    <w:p w14:paraId="4CE23A28" w14:textId="77777777" w:rsidR="007D140D" w:rsidRPr="007D140D" w:rsidRDefault="007D140D" w:rsidP="007D140D">
      <w:pPr>
        <w:widowControl w:val="0"/>
        <w:autoSpaceDE w:val="0"/>
        <w:autoSpaceDN w:val="0"/>
        <w:adjustRightInd w:val="0"/>
        <w:rPr>
          <w:rFonts w:cstheme="minorHAnsi"/>
        </w:rPr>
      </w:pPr>
    </w:p>
    <w:p w14:paraId="1DDDE354" w14:textId="77777777" w:rsidR="007D140D" w:rsidRPr="007D140D" w:rsidRDefault="007D140D" w:rsidP="007D140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140" w:line="288" w:lineRule="auto"/>
        <w:rPr>
          <w:rFonts w:cstheme="minorHAnsi"/>
        </w:rPr>
      </w:pPr>
      <w:proofErr w:type="spellStart"/>
      <w:r w:rsidRPr="007D140D">
        <w:rPr>
          <w:rFonts w:cstheme="minorHAnsi"/>
        </w:rPr>
        <w:t>Gray</w:t>
      </w:r>
      <w:proofErr w:type="spellEnd"/>
      <w:r w:rsidRPr="007D140D">
        <w:rPr>
          <w:rFonts w:cstheme="minorHAnsi"/>
        </w:rPr>
        <w:t xml:space="preserve">, M. L. and </w:t>
      </w:r>
      <w:proofErr w:type="spellStart"/>
      <w:r w:rsidRPr="007D140D">
        <w:rPr>
          <w:rFonts w:cstheme="minorHAnsi"/>
        </w:rPr>
        <w:t>Courey</w:t>
      </w:r>
      <w:proofErr w:type="spellEnd"/>
      <w:r w:rsidRPr="007D140D">
        <w:rPr>
          <w:rFonts w:cstheme="minorHAnsi"/>
        </w:rPr>
        <w:t xml:space="preserve">, M. S. (2019) ‘Transgender Voice and Communication’, </w:t>
      </w:r>
      <w:r w:rsidRPr="007D140D">
        <w:rPr>
          <w:rFonts w:cstheme="minorHAnsi"/>
          <w:i/>
          <w:iCs/>
        </w:rPr>
        <w:t>Otolaryngologic Clinics of North America</w:t>
      </w:r>
      <w:r w:rsidRPr="007D140D">
        <w:rPr>
          <w:rFonts w:cstheme="minorHAnsi"/>
        </w:rPr>
        <w:t xml:space="preserve">, 52(4), pp. 713–722. </w:t>
      </w:r>
      <w:proofErr w:type="spellStart"/>
      <w:r w:rsidRPr="007D140D">
        <w:rPr>
          <w:rFonts w:cstheme="minorHAnsi"/>
        </w:rPr>
        <w:t>doi</w:t>
      </w:r>
      <w:proofErr w:type="spellEnd"/>
      <w:r w:rsidRPr="007D140D">
        <w:rPr>
          <w:rFonts w:cstheme="minorHAnsi"/>
        </w:rPr>
        <w:t>: 10.1016/j.otc.2019.03.007.</w:t>
      </w:r>
    </w:p>
    <w:p w14:paraId="6466DC57" w14:textId="77777777" w:rsidR="007D140D" w:rsidRPr="007D140D" w:rsidRDefault="007D140D" w:rsidP="007D140D">
      <w:pPr>
        <w:widowControl w:val="0"/>
        <w:autoSpaceDE w:val="0"/>
        <w:autoSpaceDN w:val="0"/>
        <w:adjustRightInd w:val="0"/>
        <w:rPr>
          <w:rFonts w:cstheme="minorHAnsi"/>
        </w:rPr>
      </w:pPr>
    </w:p>
    <w:p w14:paraId="591FD2BD" w14:textId="77777777" w:rsidR="007D140D" w:rsidRPr="007D140D" w:rsidRDefault="007D140D" w:rsidP="007D140D">
      <w:pPr>
        <w:widowControl w:val="0"/>
        <w:autoSpaceDE w:val="0"/>
        <w:autoSpaceDN w:val="0"/>
        <w:adjustRightInd w:val="0"/>
        <w:rPr>
          <w:rFonts w:cstheme="minorHAnsi"/>
        </w:rPr>
      </w:pPr>
    </w:p>
    <w:p w14:paraId="51F121BF" w14:textId="00D3E27D" w:rsidR="007D140D" w:rsidRPr="007D140D" w:rsidRDefault="007D140D" w:rsidP="007D140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140" w:line="288" w:lineRule="auto"/>
        <w:rPr>
          <w:rFonts w:cstheme="minorHAnsi"/>
        </w:rPr>
      </w:pPr>
      <w:r w:rsidRPr="007D140D">
        <w:rPr>
          <w:rFonts w:cstheme="minorHAnsi"/>
        </w:rPr>
        <w:t xml:space="preserve">Van </w:t>
      </w:r>
      <w:proofErr w:type="spellStart"/>
      <w:r w:rsidRPr="007D140D">
        <w:rPr>
          <w:rFonts w:cstheme="minorHAnsi"/>
        </w:rPr>
        <w:t>Borsel</w:t>
      </w:r>
      <w:proofErr w:type="spellEnd"/>
      <w:r w:rsidRPr="007D140D">
        <w:rPr>
          <w:rFonts w:cstheme="minorHAnsi"/>
        </w:rPr>
        <w:t xml:space="preserve">, J., De </w:t>
      </w:r>
      <w:proofErr w:type="spellStart"/>
      <w:r w:rsidRPr="007D140D">
        <w:rPr>
          <w:rFonts w:cstheme="minorHAnsi"/>
        </w:rPr>
        <w:t>Cuypere</w:t>
      </w:r>
      <w:proofErr w:type="spellEnd"/>
      <w:r w:rsidRPr="007D140D">
        <w:rPr>
          <w:rFonts w:cstheme="minorHAnsi"/>
        </w:rPr>
        <w:t xml:space="preserve">, G. and Van Den </w:t>
      </w:r>
      <w:proofErr w:type="spellStart"/>
      <w:r w:rsidRPr="007D140D">
        <w:rPr>
          <w:rFonts w:cstheme="minorHAnsi"/>
        </w:rPr>
        <w:t>Berghe</w:t>
      </w:r>
      <w:proofErr w:type="spellEnd"/>
      <w:r w:rsidRPr="007D140D">
        <w:rPr>
          <w:rFonts w:cstheme="minorHAnsi"/>
        </w:rPr>
        <w:t xml:space="preserve">, H. (2001) ‘Physical appearance and voice in male-to-female transsexuals’, </w:t>
      </w:r>
      <w:r w:rsidRPr="007D140D">
        <w:rPr>
          <w:rFonts w:cstheme="minorHAnsi"/>
          <w:i/>
          <w:iCs/>
        </w:rPr>
        <w:t>Journal of Voice</w:t>
      </w:r>
      <w:r w:rsidRPr="007D140D">
        <w:rPr>
          <w:rFonts w:cstheme="minorHAnsi"/>
        </w:rPr>
        <w:t xml:space="preserve">, 15(4), pp. 570–575. </w:t>
      </w:r>
      <w:proofErr w:type="spellStart"/>
      <w:r w:rsidRPr="007D140D">
        <w:rPr>
          <w:rFonts w:cstheme="minorHAnsi"/>
        </w:rPr>
        <w:t>doi</w:t>
      </w:r>
      <w:proofErr w:type="spellEnd"/>
      <w:r w:rsidRPr="007D140D">
        <w:rPr>
          <w:rFonts w:cstheme="minorHAnsi"/>
        </w:rPr>
        <w:t>: 10.1016/S0892-1997(01)00059-5.</w:t>
      </w:r>
    </w:p>
    <w:p w14:paraId="5BA49938" w14:textId="77777777" w:rsidR="007D140D" w:rsidRPr="007D140D" w:rsidRDefault="007D140D" w:rsidP="007D140D">
      <w:pPr>
        <w:pStyle w:val="ListParagraph"/>
        <w:widowControl w:val="0"/>
        <w:autoSpaceDE w:val="0"/>
        <w:autoSpaceDN w:val="0"/>
        <w:adjustRightInd w:val="0"/>
        <w:spacing w:after="140" w:line="288" w:lineRule="auto"/>
        <w:rPr>
          <w:rFonts w:cstheme="minorHAnsi"/>
        </w:rPr>
      </w:pPr>
    </w:p>
    <w:p w14:paraId="2AA88D01" w14:textId="77777777" w:rsidR="007D140D" w:rsidRPr="007D140D" w:rsidRDefault="007D140D" w:rsidP="007D140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140" w:line="288" w:lineRule="auto"/>
        <w:rPr>
          <w:rFonts w:cstheme="minorHAnsi"/>
        </w:rPr>
      </w:pPr>
      <w:r w:rsidRPr="007D140D">
        <w:rPr>
          <w:rFonts w:cstheme="minorHAnsi"/>
        </w:rPr>
        <w:fldChar w:fldCharType="begin" w:fldLock="1"/>
      </w:r>
      <w:r w:rsidRPr="007D140D">
        <w:rPr>
          <w:rFonts w:cstheme="minorHAnsi"/>
        </w:rPr>
        <w:instrText xml:space="preserve">ADDIN Mendeley Bibliography CSL_BIBLIOGRAPHY </w:instrText>
      </w:r>
      <w:r w:rsidRPr="007D140D">
        <w:rPr>
          <w:rFonts w:cstheme="minorHAnsi"/>
        </w:rPr>
        <w:fldChar w:fldCharType="end"/>
      </w:r>
      <w:r w:rsidRPr="007D140D">
        <w:rPr>
          <w:rFonts w:cstheme="minorHAnsi"/>
        </w:rPr>
        <w:t xml:space="preserve">Zhang, Z. (2016) ‘Mechanics of human voice production and control’, </w:t>
      </w:r>
      <w:r w:rsidRPr="007D140D">
        <w:rPr>
          <w:rFonts w:cstheme="minorHAnsi"/>
          <w:i/>
          <w:iCs/>
        </w:rPr>
        <w:t>The Journal of the Acoustical Society of America</w:t>
      </w:r>
      <w:r w:rsidRPr="007D140D">
        <w:rPr>
          <w:rFonts w:cstheme="minorHAnsi"/>
        </w:rPr>
        <w:t xml:space="preserve">, 140(4), pp. 2614–2635. </w:t>
      </w:r>
      <w:proofErr w:type="spellStart"/>
      <w:r w:rsidRPr="007D140D">
        <w:rPr>
          <w:rFonts w:cstheme="minorHAnsi"/>
        </w:rPr>
        <w:t>doi</w:t>
      </w:r>
      <w:proofErr w:type="spellEnd"/>
      <w:r w:rsidRPr="007D140D">
        <w:rPr>
          <w:rFonts w:cstheme="minorHAnsi"/>
        </w:rPr>
        <w:t>: 10.1121/1.4964509.</w:t>
      </w:r>
    </w:p>
    <w:p w14:paraId="03566413" w14:textId="77777777" w:rsidR="007D140D" w:rsidRPr="007D140D" w:rsidRDefault="007D140D">
      <w:pPr>
        <w:rPr>
          <w:rFonts w:cstheme="minorHAnsi"/>
        </w:rPr>
      </w:pPr>
    </w:p>
    <w:sectPr w:rsidR="007D140D" w:rsidRPr="007D140D" w:rsidSect="00C4030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042B7D"/>
    <w:multiLevelType w:val="hybridMultilevel"/>
    <w:tmpl w:val="0F384B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288"/>
    <w:rsid w:val="007D140D"/>
    <w:rsid w:val="00912288"/>
    <w:rsid w:val="00C40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04F078"/>
  <w15:chartTrackingRefBased/>
  <w15:docId w15:val="{2B5DADD7-585B-CA40-AB0B-5797784A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14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MARIPI, Satya (ISLE OF WIGHT NHS TRUST)</dc:creator>
  <cp:keywords/>
  <dc:description/>
  <cp:lastModifiedBy>MARIPI, Satya (ISLE OF WIGHT NHS TRUST)</cp:lastModifiedBy>
  <cp:revision>1</cp:revision>
  <dcterms:created xsi:type="dcterms:W3CDTF">2021-02-06T09:21:00Z</dcterms:created>
  <dcterms:modified xsi:type="dcterms:W3CDTF">2021-02-06T09:43:00Z</dcterms:modified>
</cp:coreProperties>
</file>