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6B780" w14:textId="588F0BF1" w:rsidR="002B765A" w:rsidRPr="002B765A" w:rsidRDefault="002B765A" w:rsidP="002B765A">
      <w:pPr>
        <w:spacing w:after="120" w:line="360" w:lineRule="auto"/>
        <w:jc w:val="both"/>
        <w:rPr>
          <w:lang w:val="en-US" w:eastAsia="de-CH"/>
        </w:rPr>
      </w:pPr>
      <w:r>
        <w:rPr>
          <w:lang w:val="en-US" w:eastAsia="de-CH"/>
        </w:rPr>
        <w:t>Efficacy of i</w:t>
      </w:r>
      <w:r w:rsidRPr="002B765A">
        <w:rPr>
          <w:lang w:val="en-US" w:eastAsia="de-CH"/>
        </w:rPr>
        <w:t>ntratympanic</w:t>
      </w:r>
      <w:r>
        <w:rPr>
          <w:lang w:val="en-US" w:eastAsia="de-CH"/>
        </w:rPr>
        <w:t xml:space="preserve"> applied</w:t>
      </w:r>
      <w:r w:rsidRPr="002B765A">
        <w:rPr>
          <w:lang w:val="en-US" w:eastAsia="de-CH"/>
        </w:rPr>
        <w:t xml:space="preserve"> triamcinolone acetonide as</w:t>
      </w:r>
      <w:r>
        <w:rPr>
          <w:lang w:val="en-US" w:eastAsia="de-CH"/>
        </w:rPr>
        <w:t xml:space="preserve"> </w:t>
      </w:r>
      <w:r w:rsidRPr="002B765A">
        <w:rPr>
          <w:lang w:val="en-US" w:eastAsia="de-CH"/>
        </w:rPr>
        <w:t xml:space="preserve">salvage </w:t>
      </w:r>
      <w:r>
        <w:rPr>
          <w:lang w:val="en-US" w:eastAsia="de-CH"/>
        </w:rPr>
        <w:t>therapy</w:t>
      </w:r>
      <w:r w:rsidRPr="002B765A">
        <w:rPr>
          <w:lang w:val="en-US" w:eastAsia="de-CH"/>
        </w:rPr>
        <w:t xml:space="preserve"> for idiopathic sudden sensorineural hearing loss</w:t>
      </w:r>
    </w:p>
    <w:p w14:paraId="2DEF0445" w14:textId="7322008A" w:rsidR="002B765A" w:rsidRPr="002B765A" w:rsidRDefault="002B765A" w:rsidP="002B765A">
      <w:pPr>
        <w:spacing w:after="120" w:line="360" w:lineRule="auto"/>
        <w:jc w:val="both"/>
        <w:rPr>
          <w:vertAlign w:val="superscript"/>
          <w:lang w:val="en-US" w:eastAsia="de-CH"/>
        </w:rPr>
      </w:pPr>
      <w:r w:rsidRPr="002B765A">
        <w:rPr>
          <w:lang w:val="en-US" w:eastAsia="de-CH"/>
        </w:rPr>
        <w:t>Alexandros Andrianakis</w:t>
      </w: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>, Ulrich Moser</w:t>
      </w: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>, Axel Wolf</w:t>
      </w: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>, Peter Kiss</w:t>
      </w: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>, Clemens Holzmeister</w:t>
      </w: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>, Peter Valentin Tomazic</w:t>
      </w: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>, Matthias Graupp</w:t>
      </w:r>
      <w:r>
        <w:rPr>
          <w:vertAlign w:val="superscript"/>
          <w:lang w:val="en-US" w:eastAsia="de-CH"/>
        </w:rPr>
        <w:t>1</w:t>
      </w:r>
    </w:p>
    <w:p w14:paraId="09E78436" w14:textId="726C528F" w:rsidR="002B765A" w:rsidRDefault="002B765A" w:rsidP="002B765A">
      <w:pPr>
        <w:spacing w:after="120" w:line="360" w:lineRule="auto"/>
        <w:jc w:val="both"/>
        <w:rPr>
          <w:lang w:val="en-US" w:eastAsia="de-CH"/>
        </w:rPr>
      </w:pPr>
      <w:r>
        <w:rPr>
          <w:vertAlign w:val="superscript"/>
          <w:lang w:val="en-US" w:eastAsia="de-CH"/>
        </w:rPr>
        <w:t>1</w:t>
      </w:r>
      <w:r w:rsidRPr="002B765A">
        <w:rPr>
          <w:lang w:val="en-US" w:eastAsia="de-CH"/>
        </w:rPr>
        <w:t xml:space="preserve"> Department of Otorhinolaryngology, Medical University of Graz, Austria</w:t>
      </w:r>
    </w:p>
    <w:p w14:paraId="4AD722C9" w14:textId="77777777" w:rsidR="002B765A" w:rsidRPr="002B765A" w:rsidRDefault="002B765A" w:rsidP="002B765A">
      <w:pPr>
        <w:spacing w:after="120" w:line="360" w:lineRule="auto"/>
        <w:jc w:val="both"/>
        <w:rPr>
          <w:lang w:val="en-US" w:eastAsia="de-CH"/>
        </w:rPr>
      </w:pPr>
    </w:p>
    <w:p w14:paraId="4B82470A" w14:textId="668C9466" w:rsidR="00C141AE" w:rsidRDefault="00C141AE" w:rsidP="00C141AE">
      <w:pPr>
        <w:spacing w:after="120" w:line="360" w:lineRule="auto"/>
        <w:jc w:val="both"/>
        <w:rPr>
          <w:color w:val="000000"/>
          <w:lang w:val="en-US"/>
        </w:rPr>
      </w:pPr>
      <w:r w:rsidRPr="00B44719">
        <w:rPr>
          <w:b/>
          <w:color w:val="000000"/>
          <w:lang w:val="en-US"/>
        </w:rPr>
        <w:t>Introduction</w:t>
      </w:r>
      <w:r>
        <w:rPr>
          <w:color w:val="000000"/>
          <w:lang w:val="en-US"/>
        </w:rPr>
        <w:t xml:space="preserve">: Intratympanic steroid (ITS) </w:t>
      </w:r>
      <w:r w:rsidR="0068629F">
        <w:rPr>
          <w:color w:val="000000"/>
          <w:lang w:val="en-US"/>
        </w:rPr>
        <w:t>therapy is</w:t>
      </w:r>
      <w:r w:rsidR="002B765A">
        <w:rPr>
          <w:color w:val="000000"/>
          <w:lang w:val="en-US"/>
        </w:rPr>
        <w:t xml:space="preserve"> recommended by national clinical practice guidelines as salvage treatment for idiopathic sudden sensorineural hearing loss (ISSHL)</w:t>
      </w:r>
      <w:r>
        <w:rPr>
          <w:color w:val="000000"/>
          <w:lang w:val="en-US"/>
        </w:rPr>
        <w:t xml:space="preserve">. </w:t>
      </w:r>
      <w:r w:rsidRPr="004D18E0">
        <w:rPr>
          <w:color w:val="000000"/>
          <w:lang w:val="en-US"/>
        </w:rPr>
        <w:t>The most effective corticosteroid for this treatment modality still remain</w:t>
      </w:r>
      <w:r>
        <w:rPr>
          <w:color w:val="000000"/>
          <w:lang w:val="en-US"/>
        </w:rPr>
        <w:t>s</w:t>
      </w:r>
      <w:r w:rsidRPr="004D18E0">
        <w:rPr>
          <w:color w:val="000000"/>
          <w:lang w:val="en-US"/>
        </w:rPr>
        <w:t xml:space="preserve"> </w:t>
      </w:r>
      <w:r w:rsidR="002B765A">
        <w:rPr>
          <w:color w:val="000000"/>
          <w:lang w:val="en-US"/>
        </w:rPr>
        <w:t>elusive</w:t>
      </w:r>
      <w:r>
        <w:rPr>
          <w:color w:val="000000"/>
          <w:lang w:val="en-US"/>
        </w:rPr>
        <w:t xml:space="preserve">. Triamcinolone acetonide is one of the </w:t>
      </w:r>
      <w:r w:rsidR="0068629F">
        <w:rPr>
          <w:color w:val="000000"/>
          <w:lang w:val="en-US"/>
        </w:rPr>
        <w:t>cortico</w:t>
      </w:r>
      <w:r>
        <w:rPr>
          <w:color w:val="000000"/>
          <w:lang w:val="en-US"/>
        </w:rPr>
        <w:t xml:space="preserve">steroids that have been used for </w:t>
      </w:r>
      <w:r w:rsidR="002B765A">
        <w:rPr>
          <w:color w:val="000000"/>
          <w:lang w:val="en-US"/>
        </w:rPr>
        <w:t>intratympanic treatment</w:t>
      </w:r>
      <w:r>
        <w:rPr>
          <w:color w:val="000000"/>
          <w:lang w:val="en-US"/>
        </w:rPr>
        <w:t xml:space="preserve"> in various clinical settings. However</w:t>
      </w:r>
      <w:r w:rsidR="002B765A">
        <w:rPr>
          <w:color w:val="000000"/>
          <w:lang w:val="en-US"/>
        </w:rPr>
        <w:t>,</w:t>
      </w:r>
      <w:r>
        <w:rPr>
          <w:color w:val="000000"/>
          <w:lang w:val="en-US"/>
        </w:rPr>
        <w:t xml:space="preserve"> only few clinical data of triamcinolone acetonide </w:t>
      </w:r>
      <w:r w:rsidR="002B765A">
        <w:rPr>
          <w:color w:val="000000"/>
          <w:lang w:val="en-US"/>
        </w:rPr>
        <w:t>as salvage treatment</w:t>
      </w:r>
      <w:r>
        <w:rPr>
          <w:color w:val="000000"/>
          <w:lang w:val="en-US"/>
        </w:rPr>
        <w:t xml:space="preserve"> for ISSHL exists. The </w:t>
      </w:r>
      <w:r w:rsidR="0068629F">
        <w:rPr>
          <w:color w:val="000000"/>
          <w:lang w:val="en-US"/>
        </w:rPr>
        <w:t>objective</w:t>
      </w:r>
      <w:r>
        <w:rPr>
          <w:color w:val="000000"/>
          <w:lang w:val="en-US"/>
        </w:rPr>
        <w:t xml:space="preserve"> of this study was to determine the efficacy of triamcinolone acetonide</w:t>
      </w:r>
      <w:r w:rsidR="0068629F">
        <w:rPr>
          <w:color w:val="000000"/>
          <w:lang w:val="en-US"/>
        </w:rPr>
        <w:t xml:space="preserve"> in intratympanic</w:t>
      </w:r>
      <w:r>
        <w:rPr>
          <w:color w:val="000000"/>
          <w:lang w:val="en-US"/>
        </w:rPr>
        <w:t xml:space="preserve"> salvage treatment </w:t>
      </w:r>
      <w:r w:rsidR="0068629F">
        <w:rPr>
          <w:color w:val="000000"/>
          <w:lang w:val="en-US"/>
        </w:rPr>
        <w:t xml:space="preserve">of </w:t>
      </w:r>
      <w:r>
        <w:rPr>
          <w:color w:val="000000"/>
          <w:lang w:val="en-US"/>
        </w:rPr>
        <w:t>ISSHL.</w:t>
      </w:r>
    </w:p>
    <w:p w14:paraId="0750B6EC" w14:textId="30D96FE3" w:rsidR="00C141AE" w:rsidRDefault="00C141AE" w:rsidP="00C141AE">
      <w:pPr>
        <w:spacing w:after="120" w:line="360" w:lineRule="auto"/>
        <w:jc w:val="both"/>
        <w:rPr>
          <w:color w:val="000000"/>
          <w:lang w:val="en-US"/>
        </w:rPr>
      </w:pPr>
      <w:r w:rsidRPr="003B4EF0">
        <w:rPr>
          <w:b/>
          <w:color w:val="000000"/>
          <w:lang w:val="en-US"/>
        </w:rPr>
        <w:t>Methods:</w:t>
      </w:r>
      <w:r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All </w:t>
      </w:r>
      <w:r>
        <w:rPr>
          <w:lang w:val="en-US"/>
        </w:rPr>
        <w:t xml:space="preserve">ISSHL patients who received ITS salvage treatment </w:t>
      </w:r>
      <w:r>
        <w:rPr>
          <w:lang w:val="en-US"/>
        </w:rPr>
        <w:t>between January 2014 to August 2019</w:t>
      </w:r>
      <w:r w:rsidRPr="00047B90">
        <w:rPr>
          <w:lang w:val="en-US"/>
        </w:rPr>
        <w:t xml:space="preserve"> </w:t>
      </w:r>
      <w:r>
        <w:rPr>
          <w:lang w:val="en-US"/>
        </w:rPr>
        <w:t>at the Department of Otorhinolaryngology, Medical University of Graz, were retrospectively evaluated</w:t>
      </w:r>
      <w:r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 xml:space="preserve">Hearing improvement was calculated as absolute change in pure-tone average from salvage treatment start to one-week follow up visit. Grade of hearing recovery was </w:t>
      </w:r>
      <w:r w:rsidR="00766055">
        <w:rPr>
          <w:color w:val="000000"/>
          <w:lang w:val="en-US"/>
        </w:rPr>
        <w:t>determined</w:t>
      </w:r>
      <w:r>
        <w:rPr>
          <w:color w:val="000000"/>
          <w:lang w:val="en-US"/>
        </w:rPr>
        <w:t xml:space="preserve"> according to Wilsons criteria.</w:t>
      </w:r>
    </w:p>
    <w:p w14:paraId="7F3D7EC6" w14:textId="62FC7EBF" w:rsidR="00C141AE" w:rsidRDefault="00C141AE" w:rsidP="00C141AE">
      <w:pPr>
        <w:spacing w:after="120" w:line="360" w:lineRule="auto"/>
        <w:jc w:val="both"/>
        <w:rPr>
          <w:color w:val="000000"/>
          <w:lang w:val="en-US"/>
        </w:rPr>
      </w:pPr>
      <w:r w:rsidRPr="00BC0B31">
        <w:rPr>
          <w:b/>
          <w:color w:val="000000"/>
          <w:lang w:val="en-US"/>
        </w:rPr>
        <w:t>Results:</w:t>
      </w:r>
      <w:r w:rsidRPr="00420A85">
        <w:rPr>
          <w:lang w:val="en-US"/>
        </w:rPr>
        <w:t xml:space="preserve"> </w:t>
      </w:r>
      <w:r>
        <w:rPr>
          <w:lang w:val="en-US"/>
        </w:rPr>
        <w:t xml:space="preserve">152 patients </w:t>
      </w:r>
      <w:r>
        <w:rPr>
          <w:lang w:val="en-US"/>
        </w:rPr>
        <w:t>obtained</w:t>
      </w:r>
      <w:r>
        <w:rPr>
          <w:lang w:val="en-US"/>
        </w:rPr>
        <w:t xml:space="preserve"> up to three intratympanic injections with triamcinolone acetonide at one-week intervals.</w:t>
      </w:r>
      <w:r w:rsidRPr="00E328EC">
        <w:rPr>
          <w:color w:val="000000"/>
          <w:lang w:val="en-US"/>
        </w:rPr>
        <w:t xml:space="preserve"> </w:t>
      </w:r>
      <w:r w:rsidR="002B765A" w:rsidRPr="00AD7D98">
        <w:rPr>
          <w:lang w:val="en-US"/>
        </w:rPr>
        <w:t xml:space="preserve">The </w:t>
      </w:r>
      <w:r w:rsidR="002B765A">
        <w:rPr>
          <w:lang w:val="en-US"/>
        </w:rPr>
        <w:t>absolute</w:t>
      </w:r>
      <w:r w:rsidR="002B765A" w:rsidRPr="00AD7D98">
        <w:rPr>
          <w:lang w:val="en-US"/>
        </w:rPr>
        <w:t xml:space="preserve"> hearing improvement </w:t>
      </w:r>
      <w:r w:rsidR="002B765A">
        <w:rPr>
          <w:lang w:val="en-US"/>
        </w:rPr>
        <w:t>due to</w:t>
      </w:r>
      <w:r w:rsidR="002B765A" w:rsidRPr="00AD7D98">
        <w:rPr>
          <w:lang w:val="en-US"/>
        </w:rPr>
        <w:t xml:space="preserve"> ITS </w:t>
      </w:r>
      <w:r w:rsidR="002B765A">
        <w:rPr>
          <w:lang w:val="en-US"/>
        </w:rPr>
        <w:t xml:space="preserve">salvage </w:t>
      </w:r>
      <w:r w:rsidR="002B765A" w:rsidRPr="00AD7D98">
        <w:rPr>
          <w:lang w:val="en-US"/>
        </w:rPr>
        <w:t xml:space="preserve">treatment </w:t>
      </w:r>
      <w:r w:rsidR="002B765A">
        <w:rPr>
          <w:lang w:val="en-US"/>
        </w:rPr>
        <w:t xml:space="preserve">quantified </w:t>
      </w:r>
      <w:r w:rsidR="002B765A" w:rsidRPr="00AD7D98">
        <w:rPr>
          <w:lang w:val="en-US"/>
        </w:rPr>
        <w:t>15.9 ± 18.9 dB</w:t>
      </w:r>
      <w:r w:rsidR="002B765A">
        <w:rPr>
          <w:lang w:val="en-US"/>
        </w:rPr>
        <w:t xml:space="preserve"> on average</w:t>
      </w:r>
      <w:r w:rsidR="002B765A">
        <w:rPr>
          <w:color w:val="000000"/>
          <w:lang w:val="en-US"/>
        </w:rPr>
        <w:t xml:space="preserve">. </w:t>
      </w:r>
      <w:r w:rsidRPr="00E328EC">
        <w:rPr>
          <w:color w:val="000000"/>
          <w:lang w:val="en-US"/>
        </w:rPr>
        <w:t>Complete</w:t>
      </w:r>
      <w:r>
        <w:rPr>
          <w:color w:val="000000"/>
          <w:lang w:val="en-US"/>
        </w:rPr>
        <w:t>, partial and no hearing recovery were</w:t>
      </w:r>
      <w:r w:rsidRPr="00E328EC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found</w:t>
      </w:r>
      <w:r>
        <w:rPr>
          <w:color w:val="000000"/>
          <w:lang w:val="en-US"/>
        </w:rPr>
        <w:t xml:space="preserve"> </w:t>
      </w:r>
      <w:r w:rsidRPr="00E328EC">
        <w:rPr>
          <w:color w:val="000000"/>
          <w:lang w:val="en-US"/>
        </w:rPr>
        <w:t>in 15 (9.9 %)</w:t>
      </w:r>
      <w:r>
        <w:rPr>
          <w:color w:val="000000"/>
          <w:lang w:val="en-US"/>
        </w:rPr>
        <w:t>, 73 (48%) and 64 (42.1%) of the patients, respectively.</w:t>
      </w:r>
    </w:p>
    <w:p w14:paraId="75357A72" w14:textId="78ABA7FD" w:rsidR="00C141AE" w:rsidRPr="00D168B4" w:rsidRDefault="00C141AE" w:rsidP="00C141AE">
      <w:pPr>
        <w:spacing w:after="120" w:line="360" w:lineRule="auto"/>
        <w:jc w:val="both"/>
        <w:rPr>
          <w:color w:val="000000"/>
          <w:lang w:val="en-US"/>
        </w:rPr>
      </w:pPr>
      <w:r w:rsidRPr="00BC0B31">
        <w:rPr>
          <w:b/>
          <w:color w:val="000000"/>
          <w:lang w:val="en-US"/>
        </w:rPr>
        <w:t>Conclusion:</w:t>
      </w:r>
      <w:r>
        <w:rPr>
          <w:color w:val="000000"/>
          <w:lang w:val="en-US"/>
        </w:rPr>
        <w:t xml:space="preserve"> Triamcinolone acetonide </w:t>
      </w:r>
      <w:r w:rsidR="0068629F">
        <w:rPr>
          <w:color w:val="000000"/>
          <w:lang w:val="en-US"/>
        </w:rPr>
        <w:t xml:space="preserve">resulted in </w:t>
      </w:r>
      <w:r>
        <w:rPr>
          <w:color w:val="000000"/>
          <w:lang w:val="en-US"/>
        </w:rPr>
        <w:t xml:space="preserve">similar hearing </w:t>
      </w:r>
      <w:r w:rsidR="0068629F">
        <w:rPr>
          <w:color w:val="000000"/>
          <w:lang w:val="en-US"/>
        </w:rPr>
        <w:t>improvement compared</w:t>
      </w:r>
      <w:r>
        <w:rPr>
          <w:color w:val="000000"/>
          <w:lang w:val="en-US"/>
        </w:rPr>
        <w:t xml:space="preserve"> to those of historic cohorts using dexamethasone or methylprednisolone</w:t>
      </w:r>
      <w:r w:rsidR="0068629F">
        <w:rPr>
          <w:color w:val="000000"/>
          <w:lang w:val="en-US"/>
        </w:rPr>
        <w:t>. Therefore, triamcinolone acetonide constitutes</w:t>
      </w:r>
      <w:r>
        <w:rPr>
          <w:color w:val="000000"/>
          <w:lang w:val="en-US"/>
        </w:rPr>
        <w:t xml:space="preserve"> a</w:t>
      </w:r>
      <w:r w:rsidR="0068629F">
        <w:rPr>
          <w:color w:val="000000"/>
          <w:lang w:val="en-US"/>
        </w:rPr>
        <w:t>n effective</w:t>
      </w:r>
      <w:r>
        <w:rPr>
          <w:color w:val="000000"/>
          <w:lang w:val="en-US"/>
        </w:rPr>
        <w:t xml:space="preserve"> </w:t>
      </w:r>
      <w:r w:rsidR="0068629F">
        <w:rPr>
          <w:color w:val="000000"/>
          <w:lang w:val="en-US"/>
        </w:rPr>
        <w:t xml:space="preserve">drug </w:t>
      </w:r>
      <w:r>
        <w:rPr>
          <w:color w:val="000000"/>
          <w:lang w:val="en-US"/>
        </w:rPr>
        <w:t xml:space="preserve">alternative for ITS salvage treatment of ISSHL. </w:t>
      </w:r>
    </w:p>
    <w:p w14:paraId="71EFEAA9" w14:textId="4BB2F35B" w:rsidR="009449ED" w:rsidRDefault="009449ED">
      <w:pPr>
        <w:rPr>
          <w:lang w:val="de-AT"/>
        </w:rPr>
      </w:pPr>
      <w:r>
        <w:rPr>
          <w:lang w:val="de-AT"/>
        </w:rPr>
        <w:t xml:space="preserve"> </w:t>
      </w:r>
    </w:p>
    <w:p w14:paraId="2B2EC267" w14:textId="3DAB6F48" w:rsidR="009449ED" w:rsidRPr="009449ED" w:rsidRDefault="009449ED">
      <w:pPr>
        <w:rPr>
          <w:lang w:val="en-US"/>
        </w:rPr>
      </w:pPr>
      <w:r w:rsidRPr="009449ED">
        <w:rPr>
          <w:lang w:val="en-US"/>
        </w:rPr>
        <w:t>Correspondence:</w:t>
      </w:r>
    </w:p>
    <w:p w14:paraId="4E64D4FC" w14:textId="1644E901" w:rsidR="009449ED" w:rsidRPr="009449ED" w:rsidRDefault="009449ED">
      <w:pPr>
        <w:rPr>
          <w:lang w:val="en-US"/>
        </w:rPr>
      </w:pPr>
      <w:r w:rsidRPr="009449ED">
        <w:rPr>
          <w:lang w:val="en-US"/>
        </w:rPr>
        <w:t>Alexandros Andrianakis, M.D.</w:t>
      </w:r>
    </w:p>
    <w:p w14:paraId="31F7210F" w14:textId="7A3FCB98" w:rsidR="009449ED" w:rsidRDefault="009449ED" w:rsidP="009449ED">
      <w:pPr>
        <w:spacing w:after="120" w:line="360" w:lineRule="auto"/>
        <w:jc w:val="both"/>
        <w:rPr>
          <w:lang w:val="en-US" w:eastAsia="de-CH"/>
        </w:rPr>
      </w:pPr>
      <w:r w:rsidRPr="002B765A">
        <w:rPr>
          <w:lang w:val="en-US" w:eastAsia="de-CH"/>
        </w:rPr>
        <w:t>Department of Otorhinolaryngology, Medical University of Graz, Austria</w:t>
      </w:r>
    </w:p>
    <w:p w14:paraId="6CAB86DB" w14:textId="40635F03" w:rsidR="009449ED" w:rsidRPr="009449ED" w:rsidRDefault="009449ED">
      <w:pPr>
        <w:rPr>
          <w:lang w:val="en-US"/>
        </w:rPr>
      </w:pPr>
      <w:r>
        <w:rPr>
          <w:lang w:val="en-US"/>
        </w:rPr>
        <w:t>alexandros.andrianakis@medunigraz.at</w:t>
      </w:r>
    </w:p>
    <w:sectPr w:rsidR="009449ED" w:rsidRPr="009449ED" w:rsidSect="008652E8">
      <w:pgSz w:w="11906" w:h="16838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AE"/>
    <w:rsid w:val="001E1F9B"/>
    <w:rsid w:val="002B765A"/>
    <w:rsid w:val="0068629F"/>
    <w:rsid w:val="007170ED"/>
    <w:rsid w:val="00766055"/>
    <w:rsid w:val="008652E8"/>
    <w:rsid w:val="009449ED"/>
    <w:rsid w:val="00961885"/>
    <w:rsid w:val="00C141AE"/>
    <w:rsid w:val="00DD1924"/>
    <w:rsid w:val="00DD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28AB"/>
  <w15:chartTrackingRefBased/>
  <w15:docId w15:val="{6AD929AD-011F-44B0-92D1-CCB48F17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41AE"/>
    <w:pPr>
      <w:spacing w:after="200" w:line="276" w:lineRule="auto"/>
    </w:pPr>
    <w:rPr>
      <w:rFonts w:ascii="Calibri" w:eastAsia="Calibri" w:hAnsi="Calibri" w:cs="Times New Roman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alexandros.andrianakis@gmx.at</dc:creator>
  <cp:keywords/>
  <dc:description/>
  <cp:lastModifiedBy>alexandros.andrianakis@gmx.at</cp:lastModifiedBy>
  <cp:revision>4</cp:revision>
  <dcterms:created xsi:type="dcterms:W3CDTF">2020-06-08T16:09:00Z</dcterms:created>
  <dcterms:modified xsi:type="dcterms:W3CDTF">2020-06-08T16:50:00Z</dcterms:modified>
</cp:coreProperties>
</file>