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F95C3" w14:textId="12E50DB6" w:rsidR="00DA3981" w:rsidRDefault="00DA3981" w:rsidP="00DA3981">
      <w:pPr>
        <w:spacing w:after="0" w:line="259" w:lineRule="auto"/>
        <w:ind w:left="0" w:right="0" w:firstLine="0"/>
        <w:jc w:val="left"/>
        <w:sectPr w:rsidR="00DA3981">
          <w:headerReference w:type="even" r:id="rId7"/>
          <w:headerReference w:type="default" r:id="rId8"/>
          <w:footerReference w:type="even" r:id="rId9"/>
          <w:footerReference w:type="default" r:id="rId10"/>
          <w:headerReference w:type="first" r:id="rId11"/>
          <w:footerReference w:type="first" r:id="rId12"/>
          <w:pgSz w:w="11906" w:h="16838"/>
          <w:pgMar w:top="3277" w:right="1137" w:bottom="1440" w:left="720" w:header="10" w:footer="10" w:gutter="0"/>
          <w:cols w:space="720"/>
        </w:sectPr>
      </w:pPr>
      <w:r>
        <w:rPr>
          <w:rFonts w:ascii="Roboto" w:eastAsia="Roboto" w:hAnsi="Roboto" w:cs="Roboto"/>
          <w:b/>
          <w:color w:val="25344E"/>
          <w:sz w:val="30"/>
        </w:rPr>
        <w:t>Leptin decrease the intake of fatty acids in peripheral taste organ</w:t>
      </w:r>
      <w:r>
        <w:t xml:space="preserve"> </w:t>
      </w:r>
    </w:p>
    <w:p w14:paraId="49410F6A" w14:textId="6E1893FD" w:rsidR="00DD7E2F" w:rsidRDefault="007049DF">
      <w:pPr>
        <w:spacing w:after="0" w:line="259" w:lineRule="auto"/>
        <w:ind w:left="0" w:right="0" w:firstLine="0"/>
        <w:jc w:val="left"/>
      </w:pPr>
      <w:r>
        <w:rPr>
          <w:rFonts w:ascii="Roboto" w:eastAsia="Roboto" w:hAnsi="Roboto" w:cs="Roboto"/>
          <w:b/>
          <w:color w:val="1FBBC5"/>
          <w:sz w:val="29"/>
        </w:rPr>
        <w:t>Hameed Ullah</w:t>
      </w:r>
    </w:p>
    <w:p w14:paraId="69CFE009" w14:textId="77777777" w:rsidR="007049DF" w:rsidRDefault="007049DF" w:rsidP="007049DF">
      <w:pPr>
        <w:spacing w:after="381" w:line="259" w:lineRule="auto"/>
        <w:ind w:left="0" w:right="0" w:firstLine="0"/>
        <w:jc w:val="left"/>
      </w:pPr>
      <w:r>
        <w:rPr>
          <w:color w:val="25344E"/>
          <w:sz w:val="29"/>
        </w:rPr>
        <w:t>University of Burgundy, Dijon France</w:t>
      </w:r>
    </w:p>
    <w:p w14:paraId="74DF6368" w14:textId="268B2BF5" w:rsidR="00DD7E2F" w:rsidRDefault="0033566F">
      <w:pPr>
        <w:pStyle w:val="Heading1"/>
        <w:spacing w:after="157"/>
        <w:ind w:left="55"/>
      </w:pPr>
      <w:r>
        <w:t>Biography</w:t>
      </w:r>
    </w:p>
    <w:tbl>
      <w:tblPr>
        <w:tblStyle w:val="TableGrid"/>
        <w:tblW w:w="7447" w:type="dxa"/>
        <w:tblInd w:w="33" w:type="dxa"/>
        <w:tblCellMar>
          <w:top w:w="0" w:type="dxa"/>
          <w:left w:w="187" w:type="dxa"/>
          <w:bottom w:w="155" w:type="dxa"/>
          <w:right w:w="117" w:type="dxa"/>
        </w:tblCellMar>
        <w:tblLook w:val="04A0" w:firstRow="1" w:lastRow="0" w:firstColumn="1" w:lastColumn="0" w:noHBand="0" w:noVBand="1"/>
      </w:tblPr>
      <w:tblGrid>
        <w:gridCol w:w="7447"/>
      </w:tblGrid>
      <w:tr w:rsidR="00DD7E2F" w14:paraId="1B59297C" w14:textId="77777777">
        <w:trPr>
          <w:trHeight w:val="3500"/>
        </w:trPr>
        <w:tc>
          <w:tcPr>
            <w:tcW w:w="7447" w:type="dxa"/>
            <w:tcBorders>
              <w:top w:val="nil"/>
              <w:left w:val="nil"/>
              <w:bottom w:val="nil"/>
              <w:right w:val="nil"/>
            </w:tcBorders>
            <w:shd w:val="clear" w:color="auto" w:fill="1FBBC5"/>
            <w:vAlign w:val="bottom"/>
          </w:tcPr>
          <w:p w14:paraId="3F035329" w14:textId="44222D12" w:rsidR="00DD7E2F" w:rsidRDefault="00A36E49" w:rsidP="007049DF">
            <w:pPr>
              <w:spacing w:after="83" w:line="259" w:lineRule="auto"/>
              <w:ind w:left="0" w:firstLine="0"/>
            </w:pPr>
            <w:r>
              <w:rPr>
                <w:noProof/>
              </w:rPr>
              <w:drawing>
                <wp:anchor distT="0" distB="0" distL="114300" distR="114300" simplePos="0" relativeHeight="251658240" behindDoc="1" locked="0" layoutInCell="1" allowOverlap="1" wp14:anchorId="171F3E8E" wp14:editId="0E2D3331">
                  <wp:simplePos x="0" y="0"/>
                  <wp:positionH relativeFrom="column">
                    <wp:posOffset>136525</wp:posOffset>
                  </wp:positionH>
                  <wp:positionV relativeFrom="paragraph">
                    <wp:posOffset>136525</wp:posOffset>
                  </wp:positionV>
                  <wp:extent cx="1019175" cy="1311275"/>
                  <wp:effectExtent l="0" t="0" r="9525" b="3175"/>
                  <wp:wrapTight wrapText="bothSides">
                    <wp:wrapPolygon edited="0">
                      <wp:start x="0" y="0"/>
                      <wp:lineTo x="0" y="21338"/>
                      <wp:lineTo x="21398" y="21338"/>
                      <wp:lineTo x="21398" y="0"/>
                      <wp:lineTo x="0" y="0"/>
                    </wp:wrapPolygon>
                  </wp:wrapTight>
                  <wp:docPr id="1" name="Picture 1" descr="A person with a mustach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a mustache&#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9175" cy="1311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49DF" w:rsidRPr="00B55193">
              <w:rPr>
                <w:szCs w:val="18"/>
              </w:rPr>
              <w:t xml:space="preserve">Hameed Ullah is PhD at the Department of Physiology, Nutrition and Cancer, University of Burgundy Dijon France.  He is </w:t>
            </w:r>
            <w:r w:rsidR="007049DF">
              <w:rPr>
                <w:szCs w:val="18"/>
              </w:rPr>
              <w:t>busy in research</w:t>
            </w:r>
            <w:r w:rsidR="007049DF" w:rsidRPr="00B55193">
              <w:rPr>
                <w:szCs w:val="18"/>
              </w:rPr>
              <w:t xml:space="preserve"> on taste perception specifically on the taste for fat under the team of </w:t>
            </w:r>
            <w:proofErr w:type="spellStart"/>
            <w:r w:rsidR="007049DF" w:rsidRPr="00B55193">
              <w:rPr>
                <w:szCs w:val="18"/>
              </w:rPr>
              <w:t>NuTOX</w:t>
            </w:r>
            <w:proofErr w:type="spellEnd"/>
            <w:r w:rsidR="007049DF" w:rsidRPr="00B55193">
              <w:rPr>
                <w:szCs w:val="18"/>
              </w:rPr>
              <w:t>. This group is committed to 6</w:t>
            </w:r>
            <w:r w:rsidR="007049DF" w:rsidRPr="00B55193">
              <w:rPr>
                <w:szCs w:val="18"/>
                <w:vertAlign w:val="superscript"/>
              </w:rPr>
              <w:t>th</w:t>
            </w:r>
            <w:r w:rsidR="007049DF" w:rsidRPr="00B55193">
              <w:rPr>
                <w:szCs w:val="18"/>
              </w:rPr>
              <w:t xml:space="preserve"> taste modality i.e. taste for fat in the microenvironment of taste bud cells.  The group has identified the fat taste receptors in tongue papillae of mice. The discovery of fat taste receptors CD36 and GPR120 in taste tissue open a new debate on this new taste modality. Currently I am perusing my last year of research with this group under the title ” Role of leptin in the modulation of preference for fat in mice”. We have identified for the first time that fat taste receptors co-expressed with leptin receptors in mice taste bud cells. This means that fat eating behaviour might be control from the very beginning of food episode independent of brain gut axis. One part of the our research article is published in a reputed Journal Nutrients in 2022, Tongue Leptin Decrease Oro-Sensory Perception of Dietary Fatty Acid.</w:t>
            </w:r>
          </w:p>
          <w:p w14:paraId="7D9A165F" w14:textId="07822240" w:rsidR="00DD7E2F" w:rsidRDefault="00DD7E2F">
            <w:pPr>
              <w:spacing w:after="0" w:line="259" w:lineRule="auto"/>
              <w:ind w:left="7" w:firstLine="0"/>
            </w:pPr>
          </w:p>
        </w:tc>
      </w:tr>
    </w:tbl>
    <w:p w14:paraId="46992DF9" w14:textId="77777777" w:rsidR="00DD7E2F" w:rsidRDefault="0033566F">
      <w:pPr>
        <w:pStyle w:val="Heading1"/>
        <w:spacing w:after="218"/>
        <w:ind w:left="55"/>
      </w:pPr>
      <w:r>
        <w:t>Abstract</w:t>
      </w:r>
    </w:p>
    <w:p w14:paraId="6A5A091B" w14:textId="77777777" w:rsidR="001F0B85" w:rsidRPr="00B55193" w:rsidRDefault="001F0B85" w:rsidP="001F0B85">
      <w:pPr>
        <w:spacing w:after="0" w:line="360" w:lineRule="auto"/>
        <w:ind w:left="198" w:hanging="11"/>
        <w:rPr>
          <w:rFonts w:cs="Times New Roman"/>
        </w:rPr>
      </w:pPr>
      <w:r w:rsidRPr="002060BA">
        <w:rPr>
          <w:rFonts w:ascii="Times New Roman" w:hAnsi="Times New Roman" w:cs="Times New Roman"/>
        </w:rPr>
        <w:t>The incidence of obesity is on the rise throughout the world</w:t>
      </w:r>
      <w:r>
        <w:t xml:space="preserve">. </w:t>
      </w:r>
      <w:r w:rsidRPr="00B55193">
        <w:rPr>
          <w:rFonts w:cs="Times New Roman"/>
        </w:rPr>
        <w:t>Current researches have successfully unveiled, the existence of a gustatory cue, i.e., taste for fat. This gustatory perception might result into overeating behavior. In this study, we used biochemical and behavioral approaches to explore the role of leptin, an anorectic peptide that controls eating behaviour, energy homeostasis and body weight via its action on different areas in the brain of mice. We used the two-bottle preference and licking tests to assess the fat taste perception in mice. Confocal microscopy was used to demonstrate the colocalization of fat taste receptors (CD36 and GPR120)  with leptin receptor  in mice taste bud cells (TBCs). To explore the role of leptin in the oro-sensory perception of dietary fatty acids, we used RT-qPCR, calcium signaling, ELISA, membrane potential and western-blotting techniques. We conducted experiments on isolated TBC (</w:t>
      </w:r>
      <w:r w:rsidRPr="00B55193">
        <w:rPr>
          <w:rFonts w:cs="Times New Roman"/>
          <w:i/>
        </w:rPr>
        <w:t>ex-vivo</w:t>
      </w:r>
      <w:r w:rsidRPr="00B55193">
        <w:rPr>
          <w:rFonts w:cs="Times New Roman"/>
        </w:rPr>
        <w:t xml:space="preserve"> studies) or on different mice models like genetically modified obese (</w:t>
      </w:r>
      <w:r w:rsidRPr="00B55193">
        <w:rPr>
          <w:rFonts w:cs="Times New Roman"/>
          <w:i/>
          <w:iCs/>
        </w:rPr>
        <w:t>ob/ob</w:t>
      </w:r>
      <w:r w:rsidRPr="00B55193">
        <w:rPr>
          <w:rFonts w:cs="Times New Roman"/>
        </w:rPr>
        <w:t>) or diet-induced obese (DIO) mice (</w:t>
      </w:r>
      <w:r w:rsidRPr="00B55193">
        <w:rPr>
          <w:rFonts w:cs="Times New Roman"/>
          <w:i/>
        </w:rPr>
        <w:t xml:space="preserve">in </w:t>
      </w:r>
      <w:r w:rsidRPr="00B55193">
        <w:rPr>
          <w:rFonts w:cs="Times New Roman"/>
          <w:i/>
        </w:rPr>
        <w:t>vivo</w:t>
      </w:r>
      <w:r w:rsidRPr="00B55193">
        <w:rPr>
          <w:rFonts w:cs="Times New Roman"/>
        </w:rPr>
        <w:t xml:space="preserve"> studies) in order to explore the implication of leptin in the modulation of oro-sensory perception of dietary long-chain fatty acids. The </w:t>
      </w:r>
      <w:r w:rsidRPr="00B55193">
        <w:rPr>
          <w:rFonts w:cs="Times New Roman"/>
          <w:i/>
        </w:rPr>
        <w:t>in-vitro</w:t>
      </w:r>
      <w:r w:rsidRPr="00B55193">
        <w:rPr>
          <w:rFonts w:cs="Times New Roman"/>
        </w:rPr>
        <w:t xml:space="preserve"> studies on cultured TBC show that leptin, released from these cells into the micro-environment of papillae of the tongue, modulates fat preference in wild type mice. Leptin suppressed the dietary fatty acid in these mice but surprisingly, administration of exogenous leptin increased fat taste sensitivity in </w:t>
      </w:r>
      <w:r w:rsidRPr="00B55193">
        <w:rPr>
          <w:rFonts w:cs="Times New Roman"/>
          <w:i/>
          <w:iCs/>
        </w:rPr>
        <w:t>ob/ob</w:t>
      </w:r>
      <w:r w:rsidRPr="00B55193">
        <w:rPr>
          <w:rFonts w:cs="Times New Roman"/>
        </w:rPr>
        <w:t xml:space="preserve"> mice. The DIO mice, leptin shows no significant response which might be due to leptin resistance. Our results shows for the first time that leptin receptors are co-expressed with fat taste receptors in TBC and may control fat eating behaviour via its local action, probably in an autocrine manner, in the taste papillae, and also via its peripheral action. Finally, we can say that leptin might control preference for fat at different levels by modulating the sensitivity of fat taste. The increase in sensitivity to fatty acids solutions decrease the intake of fat/lipids which might reduce the incidence of overweight and obesity in mice.</w:t>
      </w:r>
    </w:p>
    <w:p w14:paraId="0555B46F" w14:textId="17FF380D" w:rsidR="00DD7E2F" w:rsidRDefault="001F0B85" w:rsidP="001F0B85">
      <w:pPr>
        <w:spacing w:after="36"/>
        <w:ind w:left="153" w:right="0" w:firstLine="0"/>
      </w:pPr>
      <w:r w:rsidRPr="00B55193">
        <w:rPr>
          <w:rFonts w:cs="Times New Roman"/>
          <w:b/>
          <w:color w:val="auto"/>
        </w:rPr>
        <w:t xml:space="preserve">Key words: </w:t>
      </w:r>
      <w:r>
        <w:rPr>
          <w:rFonts w:ascii="Times New Roman" w:hAnsi="Times New Roman" w:cs="Times New Roman"/>
          <w:color w:val="auto"/>
        </w:rPr>
        <w:t>l</w:t>
      </w:r>
      <w:r w:rsidRPr="00972BF5">
        <w:rPr>
          <w:rFonts w:ascii="Times New Roman" w:hAnsi="Times New Roman" w:cs="Times New Roman"/>
          <w:color w:val="auto"/>
        </w:rPr>
        <w:t xml:space="preserve">eptin; fat taste; </w:t>
      </w:r>
      <w:r>
        <w:rPr>
          <w:rFonts w:ascii="Times New Roman" w:hAnsi="Times New Roman" w:cs="Times New Roman"/>
          <w:color w:val="auto"/>
        </w:rPr>
        <w:t>o</w:t>
      </w:r>
      <w:r w:rsidRPr="00972BF5">
        <w:rPr>
          <w:rFonts w:ascii="Times New Roman" w:hAnsi="Times New Roman" w:cs="Times New Roman"/>
          <w:color w:val="auto"/>
        </w:rPr>
        <w:t>besity.</w:t>
      </w:r>
    </w:p>
    <w:p w14:paraId="43F7B082" w14:textId="77777777" w:rsidR="00DD7E2F" w:rsidRDefault="00DD7E2F">
      <w:pPr>
        <w:sectPr w:rsidR="00DD7E2F">
          <w:type w:val="continuous"/>
          <w:pgSz w:w="11906" w:h="16838"/>
          <w:pgMar w:top="1440" w:right="240" w:bottom="1440" w:left="720" w:header="720" w:footer="720" w:gutter="0"/>
          <w:cols w:num="2" w:space="720" w:equalWidth="0">
            <w:col w:w="7371" w:space="263"/>
            <w:col w:w="3312"/>
          </w:cols>
        </w:sectPr>
      </w:pPr>
    </w:p>
    <w:p w14:paraId="103B4F2F" w14:textId="14D02AB8" w:rsidR="00DD7E2F" w:rsidRDefault="0033566F">
      <w:pPr>
        <w:pStyle w:val="Heading1"/>
        <w:spacing w:after="115"/>
        <w:ind w:left="124"/>
      </w:pPr>
      <w:r>
        <w:t>I</w:t>
      </w:r>
      <w:r>
        <w:t>mportance of Research</w:t>
      </w:r>
    </w:p>
    <w:p w14:paraId="4F1BA8C3" w14:textId="77777777" w:rsidR="001F0B85" w:rsidRPr="002C12E1" w:rsidRDefault="001F0B85" w:rsidP="001F0B85">
      <w:pPr>
        <w:spacing w:after="0" w:line="360" w:lineRule="auto"/>
        <w:ind w:left="142" w:right="-56" w:firstLine="709"/>
        <w:rPr>
          <w:rFonts w:cs="Times New Roman"/>
          <w:color w:val="auto"/>
          <w:szCs w:val="20"/>
        </w:rPr>
      </w:pPr>
      <w:r>
        <w:rPr>
          <w:rFonts w:ascii="Times New Roman" w:hAnsi="Times New Roman" w:cs="Times New Roman"/>
          <w:color w:val="auto"/>
          <w:szCs w:val="24"/>
        </w:rPr>
        <w:t xml:space="preserve">  </w:t>
      </w:r>
      <w:r w:rsidRPr="00612834">
        <w:rPr>
          <w:rFonts w:ascii="Times New Roman" w:hAnsi="Times New Roman" w:cs="Times New Roman"/>
          <w:color w:val="auto"/>
          <w:szCs w:val="24"/>
        </w:rPr>
        <w:t>Obesity</w:t>
      </w:r>
      <w:r w:rsidRPr="002C12E1">
        <w:rPr>
          <w:rFonts w:cs="Times New Roman"/>
          <w:color w:val="auto"/>
          <w:szCs w:val="20"/>
        </w:rPr>
        <w:t xml:space="preserve"> is considered a multifactorial cosmopolitan medical condition associated with several other critical health complications. In 2003, the World Health Organization (WHO) reported that more than one billion people on this planet were </w:t>
      </w:r>
      <w:r w:rsidRPr="002C12E1">
        <w:rPr>
          <w:rFonts w:cs="Times New Roman"/>
          <w:color w:val="auto"/>
          <w:szCs w:val="20"/>
        </w:rPr>
        <w:lastRenderedPageBreak/>
        <w:t>overweight, of which nearly 800 million were clinically obese. The situation of obesity is predominantly the result of the accumulation of high fat, due to an imbalance of energy intake and energy expenditure.</w:t>
      </w:r>
    </w:p>
    <w:p w14:paraId="732629BD" w14:textId="77777777" w:rsidR="001F0B85" w:rsidRPr="002C12E1" w:rsidRDefault="001F0B85" w:rsidP="001F0B85">
      <w:pPr>
        <w:pStyle w:val="MDPI31text"/>
        <w:spacing w:line="360" w:lineRule="auto"/>
        <w:ind w:left="142" w:right="-56" w:firstLine="709"/>
        <w:rPr>
          <w:rFonts w:ascii="Tw Cen MT" w:eastAsia="Calibri" w:hAnsi="Tw Cen MT"/>
          <w:color w:val="auto"/>
          <w:szCs w:val="20"/>
        </w:rPr>
      </w:pPr>
      <w:r w:rsidRPr="002C12E1">
        <w:rPr>
          <w:rFonts w:ascii="Tw Cen MT" w:hAnsi="Tw Cen MT"/>
          <w:color w:val="auto"/>
          <w:szCs w:val="20"/>
        </w:rPr>
        <w:t>The sense of taste informs the organism about the quality of ingested food. There are, so far identified, five basic taste qualities, i.e., sweet, sour, bitter, salty and umami. Recent compelling evidence from rodent and human studies raises the possibility for an additional 6</w:t>
      </w:r>
      <w:r w:rsidRPr="002C12E1">
        <w:rPr>
          <w:rFonts w:ascii="Tw Cen MT" w:hAnsi="Tw Cen MT"/>
          <w:color w:val="auto"/>
          <w:szCs w:val="20"/>
          <w:vertAlign w:val="superscript"/>
        </w:rPr>
        <w:t>th</w:t>
      </w:r>
      <w:r w:rsidRPr="002C12E1">
        <w:rPr>
          <w:rFonts w:ascii="Tw Cen MT" w:hAnsi="Tw Cen MT"/>
          <w:color w:val="auto"/>
          <w:szCs w:val="20"/>
        </w:rPr>
        <w:t xml:space="preserve"> taste quality, devoted to the perception of dietary fat. Hence, two principal glycoproteins, CD36 and GPR120, are involved in fat taste perception. The CD36 is a scavenger receptor, whereas GPR120 is a GPCR and belongs to seven transmembrane domain receptors family</w:t>
      </w:r>
      <w:r w:rsidRPr="002C12E1">
        <w:rPr>
          <w:rFonts w:ascii="Tw Cen MT" w:eastAsia="Calibri" w:hAnsi="Tw Cen MT"/>
          <w:color w:val="auto"/>
          <w:szCs w:val="20"/>
        </w:rPr>
        <w:t xml:space="preserve">. </w:t>
      </w:r>
      <w:r w:rsidRPr="002C12E1">
        <w:rPr>
          <w:rFonts w:ascii="Tw Cen MT" w:hAnsi="Tw Cen MT"/>
          <w:color w:val="auto"/>
          <w:szCs w:val="20"/>
        </w:rPr>
        <w:t xml:space="preserve">The implication of CD36 in the gustatory perception of fat was shown by employing the double-choice test. The experiments on wild type and CD36 knock-out mice demonstrated that the latter animals completely failed to exhibit the preference for dietary fatty acids. </w:t>
      </w:r>
      <w:r w:rsidRPr="002C12E1">
        <w:rPr>
          <w:rFonts w:ascii="Tw Cen MT" w:eastAsia="Calibri" w:hAnsi="Tw Cen MT"/>
          <w:color w:val="auto"/>
          <w:szCs w:val="20"/>
        </w:rPr>
        <w:t>We have shown that CD36 and GPR120 act in a synergic and complementary fashion to control fat eating behaviour.</w:t>
      </w:r>
    </w:p>
    <w:p w14:paraId="1A1C1CE4" w14:textId="77777777" w:rsidR="001F0B85" w:rsidRPr="002C12E1" w:rsidRDefault="001F0B85" w:rsidP="001F0B85">
      <w:pPr>
        <w:pStyle w:val="MDPI31text"/>
        <w:spacing w:line="360" w:lineRule="auto"/>
        <w:ind w:left="142" w:right="-56" w:firstLine="709"/>
        <w:rPr>
          <w:rFonts w:ascii="Tw Cen MT" w:eastAsia="Calibri" w:hAnsi="Tw Cen MT"/>
          <w:color w:val="auto"/>
          <w:szCs w:val="20"/>
        </w:rPr>
      </w:pPr>
      <w:r w:rsidRPr="002C12E1">
        <w:rPr>
          <w:rFonts w:ascii="Tw Cen MT" w:eastAsia="Calibri" w:hAnsi="Tw Cen MT"/>
          <w:color w:val="auto"/>
          <w:szCs w:val="20"/>
        </w:rPr>
        <w:t xml:space="preserve">Leptin, the product of </w:t>
      </w:r>
      <w:r w:rsidRPr="002C12E1">
        <w:rPr>
          <w:rFonts w:ascii="Tw Cen MT" w:eastAsia="Calibri" w:hAnsi="Tw Cen MT"/>
          <w:i/>
          <w:color w:val="auto"/>
          <w:szCs w:val="20"/>
        </w:rPr>
        <w:t>ob</w:t>
      </w:r>
      <w:r w:rsidRPr="002C12E1">
        <w:rPr>
          <w:rFonts w:ascii="Tw Cen MT" w:eastAsia="Calibri" w:hAnsi="Tw Cen MT"/>
          <w:color w:val="auto"/>
          <w:szCs w:val="20"/>
        </w:rPr>
        <w:t xml:space="preserve"> (obese) gene, is produced by the adipose tissues and other organs. Leptin promotes weight loss, by stimulating the rate of metabolism and suppressing appetite. Leptin also signals on the nutritional status to several other physiological systems and modulates their functions. The defect in </w:t>
      </w:r>
      <w:r w:rsidRPr="002C12E1">
        <w:rPr>
          <w:rFonts w:ascii="Tw Cen MT" w:eastAsia="Calibri" w:hAnsi="Tw Cen MT"/>
          <w:i/>
          <w:color w:val="auto"/>
          <w:szCs w:val="20"/>
        </w:rPr>
        <w:t>ob</w:t>
      </w:r>
      <w:r w:rsidRPr="002C12E1">
        <w:rPr>
          <w:rFonts w:ascii="Tw Cen MT" w:eastAsia="Calibri" w:hAnsi="Tw Cen MT"/>
          <w:color w:val="auto"/>
          <w:szCs w:val="20"/>
        </w:rPr>
        <w:t xml:space="preserve"> gene contributes to suppressed leptin production and, ultimately, causes diabetes and development of severe obesity. </w:t>
      </w:r>
    </w:p>
    <w:p w14:paraId="11038540" w14:textId="3F077679" w:rsidR="001F0B85" w:rsidRPr="001F0B85" w:rsidRDefault="00443E23" w:rsidP="001F0B85">
      <w:r>
        <w:rPr>
          <w:color w:val="auto"/>
          <w:szCs w:val="20"/>
        </w:rPr>
        <w:t xml:space="preserve">        </w:t>
      </w:r>
      <w:r w:rsidR="001F0B85" w:rsidRPr="002C12E1">
        <w:rPr>
          <w:color w:val="auto"/>
          <w:szCs w:val="20"/>
        </w:rPr>
        <w:t>Several factors have been shown to influence fat intake and the control of food behaviour. The hormone/peptides released by gut</w:t>
      </w:r>
      <w:r>
        <w:rPr>
          <w:color w:val="auto"/>
          <w:szCs w:val="20"/>
        </w:rPr>
        <w:t xml:space="preserve"> </w:t>
      </w:r>
      <w:r w:rsidR="001F0B85" w:rsidRPr="002C12E1">
        <w:rPr>
          <w:color w:val="auto"/>
          <w:szCs w:val="20"/>
        </w:rPr>
        <w:t>during post-prandial phase of food intake trigger satiation. The agents like glucagon-like peptide-1 (GLP-1), cholecystokinin (CCK), neuropeptide-Y (NPY), pancreatic polypeptide, and ghrelin modulate food ingestion. Leptin and insulin signal the adiposity in both short and long-term energy balance homeostasis. It is interesting to mention that these gut-derived peptides/hormones have a short half-life, and they are rapidly degraded during food episode. Hence, several recent studies have demonstrated that taste buds also release a number of these peptides/hormones including leptin and CCK and control oro-cephalic phase of food intake. Leptin is a very interesting hormone as it is released not only by epithelial cells of the stomach but also by lingual papillae in the vicinity of taste bud cells. However, no study is available on the role of leptin, particularly that released by taste papillae, in the modulation of dietary fat intake. In this study, we propose to assess the implication of tongue leptin in the orosensory perception of a dietary long-chain fatty acid in mice</w:t>
      </w:r>
    </w:p>
    <w:p w14:paraId="7AF31B63" w14:textId="77777777" w:rsidR="00DD7E2F" w:rsidRDefault="0033566F">
      <w:pPr>
        <w:spacing w:after="35" w:line="259" w:lineRule="auto"/>
        <w:ind w:left="124" w:right="0" w:hanging="10"/>
        <w:jc w:val="left"/>
      </w:pPr>
      <w:r>
        <w:rPr>
          <w:b/>
          <w:sz w:val="24"/>
        </w:rPr>
        <w:t>About University:</w:t>
      </w:r>
    </w:p>
    <w:p w14:paraId="6FFEE68F" w14:textId="00F033BE" w:rsidR="001F0B85" w:rsidRDefault="00443E23" w:rsidP="001F0B85">
      <w:pPr>
        <w:ind w:left="114" w:right="136" w:firstLine="0"/>
      </w:pPr>
      <w:r>
        <w:t>Dr</w:t>
      </w:r>
      <w:r w:rsidR="001F0B85">
        <w:t xml:space="preserve">. Hameed Ullah is a research scholar at the department of Physiology, Nutrition and Cancer in  University of Burgundy Dijon, France. His research field is related taste perception more specifically on taste for fat. Fat is the major contributor in causing of obesity therefore his studies are focus on anti-obesity strategies. He is perusing his research under the supervision of a renowned scientist Dr.NA khan, the director of AgroSup at the university of Burgundy Dijon France. The group under his supervision is committed to new taste modality i.e.. Taste for fat. Fat is the constitutes more than 40% in modern diet of the western world. The consumption of high fat not only cause obesity but several other cardiovascular diseases including type II diabetes. Therefore, they are adopting the techniques in order minimise the intake of fatty acids. The most recent discovered hormone called leptin, which is found to be involved in the glucose metabolism and energy homeostasis is the new target of research by several researchers. Leptin is also released in the vicinity of taste bud cells but its role in not explored in the perception of fat taste.  We have shown that fat taste receptors co-expressed with leptin receptors in the taste bud cells so it mean there must be a cross talk between leptin and fat taste perception. </w:t>
      </w:r>
    </w:p>
    <w:p w14:paraId="3F86AB93" w14:textId="77777777" w:rsidR="00DD7E2F" w:rsidRDefault="0033566F">
      <w:pPr>
        <w:pStyle w:val="Heading1"/>
        <w:spacing w:after="92"/>
        <w:ind w:left="264"/>
      </w:pPr>
      <w:r>
        <w:lastRenderedPageBreak/>
        <w:t>References</w:t>
      </w:r>
    </w:p>
    <w:p w14:paraId="4A811680" w14:textId="490589CD" w:rsidR="00443E23" w:rsidRPr="00443E23" w:rsidRDefault="00443E23" w:rsidP="00443E23">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Fredriksson, R.; Lagerström, M.C.; Lundin, L.G.; Schiöth, H.B. The G-protein-coupled receptors in the human genome form five main families. Phylogenetic analysis, paralogon groups, and fingerprints. </w:t>
      </w:r>
      <w:r w:rsidRPr="004D4266">
        <w:rPr>
          <w:rFonts w:ascii="Tw Cen MT" w:hAnsi="Tw Cen MT" w:cs="Segoe UI"/>
          <w:b w:val="0"/>
          <w:i/>
          <w:iCs/>
          <w:color w:val="auto"/>
          <w:szCs w:val="20"/>
          <w:shd w:val="clear" w:color="auto" w:fill="FFFFFF"/>
        </w:rPr>
        <w:t>Mol Pharmacol</w:t>
      </w:r>
      <w:r w:rsidRPr="004D4266">
        <w:rPr>
          <w:rFonts w:ascii="Tw Cen MT" w:hAnsi="Tw Cen MT" w:cs="Segoe UI"/>
          <w:b w:val="0"/>
          <w:color w:val="auto"/>
          <w:szCs w:val="20"/>
          <w:shd w:val="clear" w:color="auto" w:fill="FFFFFF"/>
        </w:rPr>
        <w:t>. 2003, 63, 1256-72. doi: 10.1124/mol.63.6.1256. PMID: 12761335.</w:t>
      </w:r>
    </w:p>
    <w:p w14:paraId="5DC74933" w14:textId="6C3F1121"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Calvo, S.S.; Egan, J.M. The endocrinology of taste receptors. </w:t>
      </w:r>
      <w:r w:rsidRPr="004D4266">
        <w:rPr>
          <w:rFonts w:ascii="Tw Cen MT" w:hAnsi="Tw Cen MT" w:cs="Segoe UI"/>
          <w:b w:val="0"/>
          <w:i/>
          <w:iCs/>
          <w:color w:val="auto"/>
          <w:szCs w:val="20"/>
          <w:shd w:val="clear" w:color="auto" w:fill="FFFFFF"/>
          <w:lang w:val="fr-FR"/>
        </w:rPr>
        <w:t xml:space="preserve">Nat </w:t>
      </w:r>
      <w:proofErr w:type="spellStart"/>
      <w:r w:rsidRPr="004D4266">
        <w:rPr>
          <w:rFonts w:ascii="Tw Cen MT" w:hAnsi="Tw Cen MT" w:cs="Segoe UI"/>
          <w:b w:val="0"/>
          <w:i/>
          <w:iCs/>
          <w:color w:val="auto"/>
          <w:szCs w:val="20"/>
          <w:shd w:val="clear" w:color="auto" w:fill="FFFFFF"/>
          <w:lang w:val="fr-FR"/>
        </w:rPr>
        <w:t>Rev</w:t>
      </w:r>
      <w:proofErr w:type="spellEnd"/>
      <w:r w:rsidRPr="004D4266">
        <w:rPr>
          <w:rFonts w:ascii="Tw Cen MT" w:hAnsi="Tw Cen MT" w:cs="Segoe UI"/>
          <w:b w:val="0"/>
          <w:i/>
          <w:iCs/>
          <w:color w:val="auto"/>
          <w:szCs w:val="20"/>
          <w:shd w:val="clear" w:color="auto" w:fill="FFFFFF"/>
          <w:lang w:val="fr-FR"/>
        </w:rPr>
        <w:t xml:space="preserve"> </w:t>
      </w:r>
      <w:proofErr w:type="spellStart"/>
      <w:r w:rsidRPr="004D4266">
        <w:rPr>
          <w:rFonts w:ascii="Tw Cen MT" w:hAnsi="Tw Cen MT" w:cs="Segoe UI"/>
          <w:b w:val="0"/>
          <w:i/>
          <w:iCs/>
          <w:color w:val="auto"/>
          <w:szCs w:val="20"/>
          <w:shd w:val="clear" w:color="auto" w:fill="FFFFFF"/>
          <w:lang w:val="fr-FR"/>
        </w:rPr>
        <w:t>Endocrinol</w:t>
      </w:r>
      <w:proofErr w:type="spellEnd"/>
      <w:r w:rsidRPr="004D4266">
        <w:rPr>
          <w:rFonts w:ascii="Tw Cen MT" w:hAnsi="Tw Cen MT" w:cs="Segoe UI"/>
          <w:b w:val="0"/>
          <w:color w:val="auto"/>
          <w:szCs w:val="20"/>
          <w:shd w:val="clear" w:color="auto" w:fill="FFFFFF"/>
          <w:lang w:val="fr-FR"/>
        </w:rPr>
        <w:t xml:space="preserve">. 2015, 11, 213-27. doi: 10.1038/nrendo.2015.7. </w:t>
      </w:r>
      <w:r w:rsidRPr="004D4266">
        <w:rPr>
          <w:rFonts w:ascii="Tw Cen MT" w:hAnsi="Tw Cen MT" w:cs="Segoe UI"/>
          <w:b w:val="0"/>
          <w:color w:val="auto"/>
          <w:szCs w:val="20"/>
          <w:shd w:val="clear" w:color="auto" w:fill="FFFFFF"/>
        </w:rPr>
        <w:t xml:space="preserve">Epub 2015 Feb 24. PMID: 25707779; PMCID: PMC5220401.   </w:t>
      </w:r>
    </w:p>
    <w:p w14:paraId="4150211E"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Dramane, G.; Abdoul-Azize, S.; Hichami. A; Vögtle, T.; Akpona, S.; Chouabe, C.; Sadou, H.; Nieswandt, B.; Besnard, P.; Khan, N.A. STIM1 regulates calcium signaling in taste bud cells and preference for fat in mice. </w:t>
      </w:r>
      <w:r w:rsidRPr="004D4266">
        <w:rPr>
          <w:rFonts w:ascii="Tw Cen MT" w:hAnsi="Tw Cen MT" w:cs="Segoe UI"/>
          <w:b w:val="0"/>
          <w:i/>
          <w:iCs/>
          <w:color w:val="auto"/>
          <w:szCs w:val="20"/>
          <w:shd w:val="clear" w:color="auto" w:fill="FFFFFF"/>
        </w:rPr>
        <w:t>J Clin Invest</w:t>
      </w:r>
      <w:r w:rsidRPr="004D4266">
        <w:rPr>
          <w:rFonts w:ascii="Tw Cen MT" w:hAnsi="Tw Cen MT" w:cs="Segoe UI"/>
          <w:b w:val="0"/>
          <w:color w:val="auto"/>
          <w:szCs w:val="20"/>
          <w:shd w:val="clear" w:color="auto" w:fill="FFFFFF"/>
        </w:rPr>
        <w:t>. 2012, 122, 2267-82. doi: 10.1172/JCI59953. Epub 2012 May 1. PMID: 22546859; PMCID: PMC3533500.</w:t>
      </w:r>
    </w:p>
    <w:p w14:paraId="3A13427B"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b w:val="0"/>
          <w:color w:val="auto"/>
          <w:szCs w:val="20"/>
        </w:rPr>
        <w:t xml:space="preserve">El-Yassimi, A; Hichami, A.; Besnard, P.; Khan, N.A. Linoleic acid induces calcium signaling, Src kinase phosphorylation, and neurotransmitter release in mouse CD36-positive gustatory cells. </w:t>
      </w:r>
      <w:r w:rsidRPr="004D4266">
        <w:rPr>
          <w:rFonts w:ascii="Tw Cen MT" w:hAnsi="Tw Cen MT"/>
          <w:b w:val="0"/>
          <w:i/>
          <w:iCs/>
          <w:color w:val="auto"/>
          <w:szCs w:val="20"/>
        </w:rPr>
        <w:t>J Biol Chem</w:t>
      </w:r>
      <w:r w:rsidRPr="004D4266">
        <w:rPr>
          <w:rFonts w:ascii="Tw Cen MT" w:hAnsi="Tw Cen MT"/>
          <w:b w:val="0"/>
          <w:color w:val="auto"/>
          <w:szCs w:val="20"/>
        </w:rPr>
        <w:t>. 2008, 283, 12949-59. doi: 10.1074/jbc.M707478200. Epub 2008 Mar 5. PMID: 18321850.</w:t>
      </w:r>
    </w:p>
    <w:p w14:paraId="29A2195F"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b w:val="0"/>
          <w:color w:val="auto"/>
          <w:szCs w:val="20"/>
        </w:rPr>
      </w:pPr>
      <w:r w:rsidRPr="004D4266">
        <w:rPr>
          <w:rFonts w:ascii="Tw Cen MT" w:hAnsi="Tw Cen MT"/>
          <w:b w:val="0"/>
          <w:color w:val="auto"/>
          <w:szCs w:val="20"/>
        </w:rPr>
        <w:t xml:space="preserve">Hichami, A.; Khan, A.S..; Khan, N.A. Cellular and Molecular Mechanisms of Fat Taste Perception. </w:t>
      </w:r>
      <w:proofErr w:type="spellStart"/>
      <w:r w:rsidRPr="004D4266">
        <w:rPr>
          <w:rFonts w:ascii="Tw Cen MT" w:hAnsi="Tw Cen MT"/>
          <w:b w:val="0"/>
          <w:i/>
          <w:iCs/>
          <w:color w:val="auto"/>
          <w:szCs w:val="20"/>
        </w:rPr>
        <w:t>Handb</w:t>
      </w:r>
      <w:proofErr w:type="spellEnd"/>
      <w:r w:rsidRPr="004D4266">
        <w:rPr>
          <w:rFonts w:ascii="Tw Cen MT" w:hAnsi="Tw Cen MT"/>
          <w:b w:val="0"/>
          <w:i/>
          <w:iCs/>
          <w:color w:val="auto"/>
          <w:szCs w:val="20"/>
        </w:rPr>
        <w:t xml:space="preserve"> Exp Pharmacol</w:t>
      </w:r>
      <w:r w:rsidRPr="004D4266">
        <w:rPr>
          <w:rFonts w:ascii="Tw Cen MT" w:hAnsi="Tw Cen MT"/>
          <w:b w:val="0"/>
          <w:color w:val="auto"/>
          <w:szCs w:val="20"/>
        </w:rPr>
        <w:t>. 2021, 6. 1-24.  doi: 10.1007/164_2021_437. Epub ahead of print. PMID: 33547589.</w:t>
      </w:r>
    </w:p>
    <w:p w14:paraId="4AB40C2E"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b w:val="0"/>
          <w:color w:val="auto"/>
          <w:szCs w:val="20"/>
        </w:rPr>
        <w:t xml:space="preserve">Horio, N.; Jyotaki, M.; Yoshida, R.; Sanematsu, K.; Shigemura, N.; Ninomiya, Y. New frontiers in gut nutrient sensor research: nutrient sensors in the gastrointestinal tract: modulation of sweet taste sensitivity by leptin. </w:t>
      </w:r>
      <w:r w:rsidRPr="004D4266">
        <w:rPr>
          <w:rFonts w:ascii="Tw Cen MT" w:hAnsi="Tw Cen MT"/>
          <w:b w:val="0"/>
          <w:i/>
          <w:iCs/>
          <w:color w:val="auto"/>
          <w:szCs w:val="20"/>
        </w:rPr>
        <w:t>J Pharmacol Sci</w:t>
      </w:r>
      <w:r w:rsidRPr="004D4266">
        <w:rPr>
          <w:rFonts w:ascii="Tw Cen MT" w:hAnsi="Tw Cen MT"/>
          <w:b w:val="0"/>
          <w:color w:val="auto"/>
          <w:szCs w:val="20"/>
        </w:rPr>
        <w:t>. 2010, 112, 8-12. doi: 10.1254/jphs.09r07fm. PMID: 20093782.</w:t>
      </w:r>
    </w:p>
    <w:p w14:paraId="7844232A"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Khan, N.A.; Besnard, P. Oro-sensory perception of dietary lipids: new insights into the fat taste transduction. </w:t>
      </w:r>
      <w:r w:rsidRPr="004D4266">
        <w:rPr>
          <w:rFonts w:ascii="Tw Cen MT" w:hAnsi="Tw Cen MT" w:cs="Segoe UI"/>
          <w:b w:val="0"/>
          <w:i/>
          <w:iCs/>
          <w:color w:val="auto"/>
          <w:szCs w:val="20"/>
          <w:shd w:val="clear" w:color="auto" w:fill="FFFFFF"/>
        </w:rPr>
        <w:t>Biochim Biophys Acta</w:t>
      </w:r>
      <w:r w:rsidRPr="004D4266">
        <w:rPr>
          <w:rFonts w:ascii="Tw Cen MT" w:hAnsi="Tw Cen MT" w:cs="Segoe UI"/>
          <w:b w:val="0"/>
          <w:color w:val="auto"/>
          <w:szCs w:val="20"/>
          <w:shd w:val="clear" w:color="auto" w:fill="FFFFFF"/>
        </w:rPr>
        <w:t>. 2009, 1791, 149-55. doi: 10.1016/j.bbalip.2009.01.001. PMID: 19367762.</w:t>
      </w:r>
    </w:p>
    <w:p w14:paraId="6905F605"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b w:val="0"/>
          <w:color w:val="auto"/>
          <w:szCs w:val="20"/>
        </w:rPr>
      </w:pPr>
      <w:r w:rsidRPr="004D4266">
        <w:rPr>
          <w:rFonts w:ascii="Tw Cen MT" w:hAnsi="Tw Cen MT"/>
          <w:b w:val="0"/>
          <w:color w:val="auto"/>
          <w:szCs w:val="20"/>
        </w:rPr>
        <w:t xml:space="preserve">Kawai, K.; Sugimoto, K.; Nakashima, K.; Miura, H.; Ninomiya, Y. Leptin as a modulator of sweet taste sensitivities in mice. </w:t>
      </w:r>
      <w:r w:rsidRPr="004D4266">
        <w:rPr>
          <w:rFonts w:ascii="Tw Cen MT" w:hAnsi="Tw Cen MT"/>
          <w:b w:val="0"/>
          <w:i/>
          <w:iCs/>
          <w:color w:val="auto"/>
          <w:szCs w:val="20"/>
        </w:rPr>
        <w:t>Proc Natl Acad Sci U S A</w:t>
      </w:r>
      <w:r w:rsidRPr="004D4266">
        <w:rPr>
          <w:rFonts w:ascii="Tw Cen MT" w:hAnsi="Tw Cen MT"/>
          <w:b w:val="0"/>
          <w:color w:val="auto"/>
          <w:szCs w:val="20"/>
        </w:rPr>
        <w:t>. 2000, 97, 11044-9. doi: 10.1073/pnas.190066697. PMID: 10995460; PMCID: PMC27145.</w:t>
      </w:r>
    </w:p>
    <w:p w14:paraId="24BC1016"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b w:val="0"/>
          <w:color w:val="auto"/>
          <w:szCs w:val="20"/>
        </w:rPr>
        <w:t xml:space="preserve">Liman, E.R. TRPM5 and taste transduction. </w:t>
      </w:r>
      <w:proofErr w:type="spellStart"/>
      <w:r w:rsidRPr="004D4266">
        <w:rPr>
          <w:rFonts w:ascii="Tw Cen MT" w:hAnsi="Tw Cen MT"/>
          <w:b w:val="0"/>
          <w:i/>
          <w:color w:val="auto"/>
          <w:szCs w:val="20"/>
        </w:rPr>
        <w:t>Handb</w:t>
      </w:r>
      <w:proofErr w:type="spellEnd"/>
      <w:r w:rsidRPr="004D4266">
        <w:rPr>
          <w:rFonts w:ascii="Tw Cen MT" w:hAnsi="Tw Cen MT"/>
          <w:b w:val="0"/>
          <w:i/>
          <w:color w:val="auto"/>
          <w:szCs w:val="20"/>
        </w:rPr>
        <w:t xml:space="preserve"> Exp Pharmacol</w:t>
      </w:r>
      <w:r w:rsidRPr="004D4266">
        <w:rPr>
          <w:rFonts w:ascii="Tw Cen MT" w:hAnsi="Tw Cen MT"/>
          <w:b w:val="0"/>
          <w:color w:val="auto"/>
          <w:szCs w:val="20"/>
        </w:rPr>
        <w:t xml:space="preserve">. 2007, 179, 287-298. </w:t>
      </w:r>
    </w:p>
    <w:p w14:paraId="5DC1CF8B"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Lee, G.H.; Proenca, R.; Montez, J.M.; Carroll, K,M.; Darvishzadeh, J.G.; Lee, J.I.; Friedman, J.M. Abnormal splicing of the leptin receptor in diabetic mice. </w:t>
      </w:r>
      <w:r w:rsidRPr="004D4266">
        <w:rPr>
          <w:rFonts w:ascii="Tw Cen MT" w:hAnsi="Tw Cen MT" w:cs="Segoe UI"/>
          <w:b w:val="0"/>
          <w:i/>
          <w:iCs/>
          <w:color w:val="auto"/>
          <w:szCs w:val="20"/>
          <w:shd w:val="clear" w:color="auto" w:fill="FFFFFF"/>
        </w:rPr>
        <w:t>Nature</w:t>
      </w:r>
      <w:r w:rsidRPr="004D4266">
        <w:rPr>
          <w:rFonts w:ascii="Tw Cen MT" w:hAnsi="Tw Cen MT" w:cs="Segoe UI"/>
          <w:b w:val="0"/>
          <w:color w:val="auto"/>
          <w:szCs w:val="20"/>
          <w:shd w:val="clear" w:color="auto" w:fill="FFFFFF"/>
        </w:rPr>
        <w:t xml:space="preserve">. 1996, </w:t>
      </w:r>
      <w:r w:rsidRPr="004D4266">
        <w:rPr>
          <w:rFonts w:ascii="Tw Cen MT" w:hAnsi="Tw Cen MT" w:cs="Arial"/>
          <w:b w:val="0"/>
          <w:i/>
          <w:iCs/>
          <w:color w:val="auto"/>
          <w:szCs w:val="20"/>
          <w:shd w:val="clear" w:color="auto" w:fill="FFFFFF"/>
        </w:rPr>
        <w:t>379</w:t>
      </w:r>
      <w:r w:rsidRPr="004D4266">
        <w:rPr>
          <w:rFonts w:ascii="Tw Cen MT" w:hAnsi="Tw Cen MT" w:cs="Arial"/>
          <w:b w:val="0"/>
          <w:color w:val="auto"/>
          <w:szCs w:val="20"/>
          <w:shd w:val="clear" w:color="auto" w:fill="FFFFFF"/>
        </w:rPr>
        <w:t>, 632-635.</w:t>
      </w:r>
      <w:r w:rsidRPr="004D4266">
        <w:rPr>
          <w:rFonts w:ascii="Tw Cen MT" w:hAnsi="Tw Cen MT" w:cs="Segoe UI"/>
          <w:b w:val="0"/>
          <w:color w:val="auto"/>
          <w:szCs w:val="20"/>
          <w:shd w:val="clear" w:color="auto" w:fill="FFFFFF"/>
        </w:rPr>
        <w:t xml:space="preserve"> doi: 10.1038/379632a0. PMID: 8628397.</w:t>
      </w:r>
    </w:p>
    <w:p w14:paraId="6F43E022"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Laugerette, F.; Passilly-Degrace, P.; Patris, B.; Not, I.; Febbraio, M, Montmayeur JP, Besnard P. CD36 involvement in orosensory detection of dietary lipids, spontaneous fat preference, and digestive secretions. </w:t>
      </w:r>
      <w:r w:rsidRPr="004D4266">
        <w:rPr>
          <w:rFonts w:ascii="Tw Cen MT" w:hAnsi="Tw Cen MT" w:cs="Segoe UI"/>
          <w:b w:val="0"/>
          <w:i/>
          <w:iCs/>
          <w:color w:val="auto"/>
          <w:szCs w:val="20"/>
          <w:shd w:val="clear" w:color="auto" w:fill="FFFFFF"/>
        </w:rPr>
        <w:t>J Clin Invest</w:t>
      </w:r>
      <w:r w:rsidRPr="004D4266">
        <w:rPr>
          <w:rFonts w:ascii="Tw Cen MT" w:hAnsi="Tw Cen MT" w:cs="Segoe UI"/>
          <w:b w:val="0"/>
          <w:color w:val="auto"/>
          <w:szCs w:val="20"/>
          <w:shd w:val="clear" w:color="auto" w:fill="FFFFFF"/>
        </w:rPr>
        <w:t>. 2005,115, 3177-84.  doi: 10.1172/JCI25299. PMID: 16276419; PMCID: PMC1265871.</w:t>
      </w:r>
    </w:p>
    <w:p w14:paraId="19FA73FC"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b w:val="0"/>
          <w:color w:val="auto"/>
          <w:szCs w:val="20"/>
        </w:rPr>
        <w:t xml:space="preserve">Nakamura, Y.; Sanematsu, K.; Ohta, R.; Shirosaki, S.; Koyano, K.; Nonaka, K.; Shigemura, N.; Ninomiya, Y. Diurnal variation of human sweet taste recognition thresholds is correlated with plasma leptin levels. </w:t>
      </w:r>
      <w:r w:rsidRPr="004D4266">
        <w:rPr>
          <w:rFonts w:ascii="Tw Cen MT" w:hAnsi="Tw Cen MT"/>
          <w:b w:val="0"/>
          <w:i/>
          <w:iCs/>
          <w:color w:val="auto"/>
          <w:szCs w:val="20"/>
        </w:rPr>
        <w:t>Diabetes</w:t>
      </w:r>
      <w:r w:rsidRPr="004D4266">
        <w:rPr>
          <w:rFonts w:ascii="Tw Cen MT" w:hAnsi="Tw Cen MT"/>
          <w:b w:val="0"/>
          <w:color w:val="auto"/>
          <w:szCs w:val="20"/>
        </w:rPr>
        <w:t>. 2008, 57, 2661-5. doi: 10.2337/db07-1103. Epub 2008 Jul 15. PMID: 18633111; PMCID: PMC2551675.</w:t>
      </w:r>
    </w:p>
    <w:p w14:paraId="3840594C"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b w:val="0"/>
          <w:color w:val="auto"/>
          <w:szCs w:val="20"/>
        </w:rPr>
      </w:pPr>
      <w:r w:rsidRPr="004D4266">
        <w:rPr>
          <w:rFonts w:ascii="Tw Cen MT" w:hAnsi="Tw Cen MT"/>
          <w:b w:val="0"/>
          <w:color w:val="auto"/>
          <w:szCs w:val="20"/>
        </w:rPr>
        <w:t xml:space="preserve">Meredith, T. L.; Alan, Corcoran.; Stephen, D. Roper, Leptin’s Effect on Taste Bud Calcium Responses and Transmitter Secretion, </w:t>
      </w:r>
      <w:r w:rsidRPr="004D4266">
        <w:rPr>
          <w:rStyle w:val="Emphasis"/>
          <w:rFonts w:ascii="Tw Cen MT" w:hAnsi="Tw Cen MT"/>
          <w:b w:val="0"/>
          <w:color w:val="auto"/>
          <w:szCs w:val="20"/>
        </w:rPr>
        <w:t>Chem Senses</w:t>
      </w:r>
      <w:r w:rsidRPr="004D4266">
        <w:rPr>
          <w:rFonts w:ascii="Tw Cen MT" w:hAnsi="Tw Cen MT"/>
          <w:b w:val="0"/>
          <w:color w:val="auto"/>
          <w:szCs w:val="20"/>
        </w:rPr>
        <w:t xml:space="preserve">. 2015, 40, 217–222. </w:t>
      </w:r>
    </w:p>
    <w:p w14:paraId="17AE8EC8"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Ozdener, M.H.; Subramaniam, S.; Sundaresan, S.; Sery, O.; Hashimoto, T.; Asakawa, Y.; Besnard, P.; Abumrad, N.A.; Khan, NA. CD36- and GPR120-mediated Ca²</w:t>
      </w:r>
      <w:r w:rsidRPr="004D4266">
        <w:rPr>
          <w:rFonts w:ascii="Cambria Math" w:hAnsi="Cambria Math" w:cs="Cambria Math"/>
          <w:b w:val="0"/>
          <w:color w:val="auto"/>
          <w:szCs w:val="20"/>
          <w:shd w:val="clear" w:color="auto" w:fill="FFFFFF"/>
        </w:rPr>
        <w:t>⁺</w:t>
      </w:r>
      <w:r w:rsidRPr="004D4266">
        <w:rPr>
          <w:rFonts w:ascii="Tw Cen MT" w:hAnsi="Tw Cen MT" w:cs="Segoe UI"/>
          <w:b w:val="0"/>
          <w:color w:val="auto"/>
          <w:szCs w:val="20"/>
          <w:shd w:val="clear" w:color="auto" w:fill="FFFFFF"/>
        </w:rPr>
        <w:t xml:space="preserve"> signaling in human taste bud cells mediates differential responses to fatty acids and is altered in obese mice. </w:t>
      </w:r>
      <w:r w:rsidRPr="004D4266">
        <w:rPr>
          <w:rFonts w:ascii="Tw Cen MT" w:hAnsi="Tw Cen MT" w:cs="Segoe UI"/>
          <w:b w:val="0"/>
          <w:i/>
          <w:iCs/>
          <w:color w:val="auto"/>
          <w:szCs w:val="20"/>
          <w:shd w:val="clear" w:color="auto" w:fill="FFFFFF"/>
        </w:rPr>
        <w:t>Gastroenterology</w:t>
      </w:r>
      <w:r w:rsidRPr="004D4266">
        <w:rPr>
          <w:rFonts w:ascii="Tw Cen MT" w:hAnsi="Tw Cen MT" w:cs="Segoe UI"/>
          <w:b w:val="0"/>
          <w:color w:val="auto"/>
          <w:szCs w:val="20"/>
          <w:shd w:val="clear" w:color="auto" w:fill="FFFFFF"/>
        </w:rPr>
        <w:t>. 2014, 146, 995-1005. doi: 10.1053/j.gastro.2014.01.006. Epub 2014 Jan 9. PMID: 24412488; PMCID: PMC3979457.</w:t>
      </w:r>
    </w:p>
    <w:p w14:paraId="1EA83DCA"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b w:val="0"/>
          <w:color w:val="auto"/>
          <w:szCs w:val="20"/>
          <w:lang w:val="en-GB" w:eastAsia="fr-FR"/>
        </w:rPr>
        <w:t xml:space="preserve">Rodrigues , L.; Espanca, R.; Costa, A.R.; Antunes, C.M.; Pomar, C.; Capela-Silva, </w:t>
      </w:r>
      <w:r w:rsidRPr="004D4266">
        <w:rPr>
          <w:rFonts w:ascii="Tw Cen MT" w:hAnsi="Tw Cen MT"/>
          <w:b w:val="0"/>
          <w:color w:val="auto"/>
          <w:szCs w:val="20"/>
          <w:lang w:eastAsia="fr-FR"/>
        </w:rPr>
        <w:t xml:space="preserve">F.; Pinheiro, C.C.; Amado, F.; Lamy, E. Association between Salivary Leptin Levels and Taste Perception in Children. </w:t>
      </w:r>
      <w:r w:rsidRPr="004D4266">
        <w:rPr>
          <w:rFonts w:ascii="Tw Cen MT" w:hAnsi="Tw Cen MT"/>
          <w:b w:val="0"/>
          <w:i/>
          <w:iCs/>
          <w:color w:val="auto"/>
          <w:szCs w:val="20"/>
          <w:lang w:eastAsia="fr-FR"/>
        </w:rPr>
        <w:t>J Nutr Metab</w:t>
      </w:r>
      <w:r w:rsidRPr="004D4266">
        <w:rPr>
          <w:rFonts w:ascii="Tw Cen MT" w:hAnsi="Tw Cen MT"/>
          <w:b w:val="0"/>
          <w:color w:val="auto"/>
          <w:szCs w:val="20"/>
          <w:lang w:eastAsia="fr-FR"/>
        </w:rPr>
        <w:t>. 2017, 7260169. doi: 10.1155/2017/7260169. Epub 2017 Jul 24. PMID: 28811937; PMCID: PMC5546129</w:t>
      </w:r>
    </w:p>
    <w:p w14:paraId="37572B86"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t xml:space="preserve">Suzuki, K.; Jayasena, C.N.; Bloom, S.R. Obesity and appetite control. </w:t>
      </w:r>
      <w:r w:rsidRPr="004D4266">
        <w:rPr>
          <w:rFonts w:ascii="Tw Cen MT" w:hAnsi="Tw Cen MT" w:cs="Segoe UI"/>
          <w:b w:val="0"/>
          <w:i/>
          <w:iCs/>
          <w:color w:val="auto"/>
          <w:szCs w:val="20"/>
          <w:shd w:val="clear" w:color="auto" w:fill="FFFFFF"/>
        </w:rPr>
        <w:t>Exp Diabetes Res</w:t>
      </w:r>
      <w:r w:rsidRPr="004D4266">
        <w:rPr>
          <w:rFonts w:ascii="Tw Cen MT" w:hAnsi="Tw Cen MT" w:cs="Segoe UI"/>
          <w:b w:val="0"/>
          <w:color w:val="auto"/>
          <w:szCs w:val="20"/>
          <w:shd w:val="clear" w:color="auto" w:fill="FFFFFF"/>
        </w:rPr>
        <w:t>. 2012, 824305. Doi 10.1155/2012/824305. Epub 2012 Aug 1. PMID: 22899902; PMCID: PMC3415214.</w:t>
      </w:r>
    </w:p>
    <w:p w14:paraId="262D95EA"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b w:val="0"/>
          <w:color w:val="auto"/>
          <w:szCs w:val="20"/>
        </w:rPr>
        <w:t xml:space="preserve">Shigemura, N.; </w:t>
      </w:r>
      <w:proofErr w:type="spellStart"/>
      <w:r w:rsidRPr="004D4266">
        <w:rPr>
          <w:rFonts w:ascii="Tw Cen MT" w:hAnsi="Tw Cen MT"/>
          <w:b w:val="0"/>
          <w:color w:val="auto"/>
          <w:szCs w:val="20"/>
        </w:rPr>
        <w:t>Rie</w:t>
      </w:r>
      <w:proofErr w:type="spellEnd"/>
      <w:r w:rsidRPr="004D4266">
        <w:rPr>
          <w:rFonts w:ascii="Tw Cen MT" w:hAnsi="Tw Cen MT"/>
          <w:b w:val="0"/>
          <w:color w:val="auto"/>
          <w:szCs w:val="20"/>
        </w:rPr>
        <w:t xml:space="preserve">, Ohta.; Yuko, Kusakabe.; Hirohito, Miura.; Akihiro, Hino.; Kiyoshi, Koyano.; </w:t>
      </w:r>
      <w:proofErr w:type="spellStart"/>
      <w:r w:rsidRPr="004D4266">
        <w:rPr>
          <w:rFonts w:ascii="Tw Cen MT" w:hAnsi="Tw Cen MT"/>
          <w:b w:val="0"/>
          <w:color w:val="auto"/>
          <w:szCs w:val="20"/>
        </w:rPr>
        <w:t>Kiyohito</w:t>
      </w:r>
      <w:proofErr w:type="spellEnd"/>
      <w:r w:rsidRPr="004D4266">
        <w:rPr>
          <w:rFonts w:ascii="Tw Cen MT" w:hAnsi="Tw Cen MT"/>
          <w:b w:val="0"/>
          <w:color w:val="auto"/>
          <w:szCs w:val="20"/>
        </w:rPr>
        <w:t xml:space="preserve">, Nakashima.; </w:t>
      </w:r>
      <w:proofErr w:type="spellStart"/>
      <w:r w:rsidRPr="004D4266">
        <w:rPr>
          <w:rFonts w:ascii="Tw Cen MT" w:hAnsi="Tw Cen MT"/>
          <w:b w:val="0"/>
          <w:color w:val="auto"/>
          <w:szCs w:val="20"/>
        </w:rPr>
        <w:t>Yuzo</w:t>
      </w:r>
      <w:proofErr w:type="spellEnd"/>
      <w:r w:rsidRPr="004D4266">
        <w:rPr>
          <w:rFonts w:ascii="Tw Cen MT" w:hAnsi="Tw Cen MT"/>
          <w:b w:val="0"/>
          <w:color w:val="auto"/>
          <w:szCs w:val="20"/>
        </w:rPr>
        <w:t xml:space="preserve">, Ninomiya. Leptin modulates behavioral responses to sweet substances by influencing peripheral taste structures. </w:t>
      </w:r>
      <w:r w:rsidRPr="004D4266">
        <w:rPr>
          <w:rFonts w:ascii="Tw Cen MT" w:hAnsi="Tw Cen MT"/>
          <w:b w:val="0"/>
          <w:i/>
          <w:iCs/>
          <w:color w:val="auto"/>
          <w:szCs w:val="20"/>
        </w:rPr>
        <w:t>Endocrinology</w:t>
      </w:r>
      <w:r w:rsidRPr="004D4266">
        <w:rPr>
          <w:rFonts w:ascii="Tw Cen MT" w:hAnsi="Tw Cen MT"/>
          <w:b w:val="0"/>
          <w:color w:val="auto"/>
          <w:szCs w:val="20"/>
        </w:rPr>
        <w:t xml:space="preserve">. 2004, 145, 839–847. </w:t>
      </w:r>
      <w:r w:rsidRPr="004D4266">
        <w:rPr>
          <w:rFonts w:ascii="Tw Cen MT" w:hAnsi="Tw Cen MT" w:cs="Segoe UI"/>
          <w:b w:val="0"/>
          <w:color w:val="auto"/>
          <w:szCs w:val="20"/>
          <w:shd w:val="clear" w:color="auto" w:fill="FFFFFF"/>
        </w:rPr>
        <w:t>doi: 10.1210/en.2003-0602. Epub 2003 Oct 30. PMID: 14592964.</w:t>
      </w:r>
    </w:p>
    <w:p w14:paraId="3DDCEA81"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b w:val="0"/>
          <w:color w:val="auto"/>
          <w:szCs w:val="20"/>
          <w:lang w:eastAsia="fr-FR"/>
        </w:rPr>
      </w:pPr>
      <w:r w:rsidRPr="004D4266">
        <w:rPr>
          <w:rFonts w:ascii="Tw Cen MT" w:hAnsi="Tw Cen MT"/>
          <w:b w:val="0"/>
          <w:color w:val="auto"/>
          <w:szCs w:val="20"/>
        </w:rPr>
        <w:t xml:space="preserve">Subramaniam, S.; Ozdener, M.H.; Abdoul-Azize, S.; Saito, K.; Malik, B.; Maquart, G.; Hashimoto, T.; Marambaud, P.; Aribi, M.; Tordoff, MG.; Besnard, P.; Khan, N.A. ERK1/2 activation in human taste bud cells regulates fatty acid signaling and gustatory perception of fat in mice and humans. </w:t>
      </w:r>
      <w:r w:rsidRPr="004D4266">
        <w:rPr>
          <w:rFonts w:ascii="Tw Cen MT" w:hAnsi="Tw Cen MT"/>
          <w:b w:val="0"/>
          <w:i/>
          <w:iCs/>
          <w:color w:val="auto"/>
          <w:szCs w:val="20"/>
        </w:rPr>
        <w:t>FASEB J</w:t>
      </w:r>
      <w:r w:rsidRPr="004D4266">
        <w:rPr>
          <w:rFonts w:ascii="Tw Cen MT" w:hAnsi="Tw Cen MT"/>
          <w:b w:val="0"/>
          <w:color w:val="auto"/>
          <w:szCs w:val="20"/>
        </w:rPr>
        <w:t>. 2016, 30, 3489-3500. doi: 10.1096/fj.201600422R. Epub 2016 Jun 29. PMID: 27358389; PMCID: PMC5024696.</w:t>
      </w:r>
    </w:p>
    <w:p w14:paraId="5F1D2F0D"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b w:val="0"/>
          <w:color w:val="auto"/>
          <w:szCs w:val="20"/>
          <w:lang w:eastAsia="fr-FR"/>
        </w:rPr>
      </w:pPr>
      <w:r w:rsidRPr="004D4266">
        <w:rPr>
          <w:rFonts w:ascii="Tw Cen MT" w:hAnsi="Tw Cen MT"/>
          <w:b w:val="0"/>
          <w:color w:val="auto"/>
          <w:szCs w:val="20"/>
          <w:lang w:eastAsia="fr-FR"/>
        </w:rPr>
        <w:t>Yoshida, R.; Yasumatsu, K.; Ninomiya, Y. The sweet taste receptor, glucose transporters, and the ATP-sensitive K</w:t>
      </w:r>
      <w:r w:rsidRPr="004D4266">
        <w:rPr>
          <w:rFonts w:ascii="Tw Cen MT" w:hAnsi="Tw Cen MT"/>
          <w:b w:val="0"/>
          <w:color w:val="auto"/>
          <w:szCs w:val="20"/>
          <w:vertAlign w:val="superscript"/>
          <w:lang w:eastAsia="fr-FR"/>
        </w:rPr>
        <w:t>+</w:t>
      </w:r>
      <w:r w:rsidRPr="004D4266">
        <w:rPr>
          <w:rFonts w:ascii="Tw Cen MT" w:hAnsi="Tw Cen MT"/>
          <w:b w:val="0"/>
          <w:color w:val="auto"/>
          <w:szCs w:val="20"/>
          <w:lang w:eastAsia="fr-FR"/>
        </w:rPr>
        <w:t xml:space="preserve"> (K</w:t>
      </w:r>
      <w:r w:rsidRPr="004D4266">
        <w:rPr>
          <w:rFonts w:ascii="Tw Cen MT" w:hAnsi="Tw Cen MT"/>
          <w:b w:val="0"/>
          <w:color w:val="auto"/>
          <w:szCs w:val="20"/>
          <w:vertAlign w:val="subscript"/>
          <w:lang w:eastAsia="fr-FR"/>
        </w:rPr>
        <w:t>ATP</w:t>
      </w:r>
      <w:r w:rsidRPr="004D4266">
        <w:rPr>
          <w:rFonts w:ascii="Tw Cen MT" w:hAnsi="Tw Cen MT"/>
          <w:b w:val="0"/>
          <w:color w:val="auto"/>
          <w:szCs w:val="20"/>
          <w:lang w:eastAsia="fr-FR"/>
        </w:rPr>
        <w:t xml:space="preserve">) channel: sugar sensing for the regulation of energy homeostasis. </w:t>
      </w:r>
      <w:r w:rsidRPr="004D4266">
        <w:rPr>
          <w:rFonts w:ascii="Tw Cen MT" w:hAnsi="Tw Cen MT"/>
          <w:b w:val="0"/>
          <w:i/>
          <w:iCs/>
          <w:color w:val="auto"/>
          <w:szCs w:val="20"/>
          <w:lang w:eastAsia="fr-FR"/>
        </w:rPr>
        <w:t>Current Opin Physiol</w:t>
      </w:r>
      <w:r w:rsidRPr="004D4266">
        <w:rPr>
          <w:rFonts w:ascii="Tw Cen MT" w:hAnsi="Tw Cen MT"/>
          <w:b w:val="0"/>
          <w:color w:val="auto"/>
          <w:szCs w:val="20"/>
          <w:lang w:eastAsia="fr-FR"/>
        </w:rPr>
        <w:t>. 2021, 20, 57–63.</w:t>
      </w:r>
    </w:p>
    <w:p w14:paraId="7DA2FDE7"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b w:val="0"/>
          <w:color w:val="auto"/>
          <w:szCs w:val="20"/>
        </w:rPr>
      </w:pPr>
      <w:r w:rsidRPr="004D4266">
        <w:rPr>
          <w:rFonts w:ascii="Tw Cen MT" w:hAnsi="Tw Cen MT" w:cs="Segoe UI"/>
          <w:b w:val="0"/>
          <w:color w:val="auto"/>
          <w:szCs w:val="20"/>
          <w:shd w:val="clear" w:color="auto" w:fill="FFFFFF"/>
        </w:rPr>
        <w:t xml:space="preserve">Yoshida, R.; Noguchi, K.; Shigemura, N.; Jyotaki, M.; Takahashi, I.; Margolskee, RF.; Ninomiya, Y. Leptin Suppresses Mouse Taste Cell Responses to Sweet Compounds. </w:t>
      </w:r>
      <w:r w:rsidRPr="004D4266">
        <w:rPr>
          <w:rFonts w:ascii="Tw Cen MT" w:hAnsi="Tw Cen MT" w:cs="Segoe UI"/>
          <w:b w:val="0"/>
          <w:i/>
          <w:iCs/>
          <w:color w:val="auto"/>
          <w:szCs w:val="20"/>
          <w:shd w:val="clear" w:color="auto" w:fill="FFFFFF"/>
        </w:rPr>
        <w:t>Diabetes</w:t>
      </w:r>
      <w:r w:rsidRPr="004D4266">
        <w:rPr>
          <w:rFonts w:ascii="Tw Cen MT" w:hAnsi="Tw Cen MT" w:cs="Segoe UI"/>
          <w:b w:val="0"/>
          <w:color w:val="auto"/>
          <w:szCs w:val="20"/>
          <w:shd w:val="clear" w:color="auto" w:fill="FFFFFF"/>
        </w:rPr>
        <w:t>. 2015, 64, 3751-62. doi: 10.2337/db14-1462. Epub 2015 Jun 26. PMID: 26116698; PMCID: PMC4876703.</w:t>
      </w:r>
    </w:p>
    <w:p w14:paraId="70F3949B" w14:textId="77777777" w:rsidR="001F0B85" w:rsidRPr="004D4266" w:rsidRDefault="001F0B85" w:rsidP="001F0B85">
      <w:pPr>
        <w:pStyle w:val="MDPI21heading1"/>
        <w:numPr>
          <w:ilvl w:val="0"/>
          <w:numId w:val="2"/>
        </w:numPr>
        <w:spacing w:before="0" w:after="0" w:line="240" w:lineRule="auto"/>
        <w:ind w:left="714" w:hanging="357"/>
        <w:rPr>
          <w:rFonts w:ascii="Tw Cen MT" w:hAnsi="Tw Cen MT" w:cs="Segoe UI"/>
          <w:b w:val="0"/>
          <w:color w:val="auto"/>
          <w:szCs w:val="20"/>
          <w:shd w:val="clear" w:color="auto" w:fill="FFFFFF"/>
        </w:rPr>
      </w:pPr>
      <w:r w:rsidRPr="004D4266">
        <w:rPr>
          <w:rFonts w:ascii="Tw Cen MT" w:hAnsi="Tw Cen MT" w:cs="Segoe UI"/>
          <w:b w:val="0"/>
          <w:color w:val="auto"/>
          <w:szCs w:val="20"/>
          <w:shd w:val="clear" w:color="auto" w:fill="FFFFFF"/>
        </w:rPr>
        <w:lastRenderedPageBreak/>
        <w:t xml:space="preserve">Zhang, Y.; Proenca, R.; Maffei, M.; Barone, M.; Leopold, L.; Friedman, J.M. Positional cloning of the mouse obese gene and its human homologue. </w:t>
      </w:r>
      <w:r w:rsidRPr="004D4266">
        <w:rPr>
          <w:rFonts w:ascii="Tw Cen MT" w:hAnsi="Tw Cen MT" w:cs="Segoe UI"/>
          <w:b w:val="0"/>
          <w:i/>
          <w:iCs/>
          <w:color w:val="auto"/>
          <w:szCs w:val="20"/>
          <w:shd w:val="clear" w:color="auto" w:fill="FFFFFF"/>
        </w:rPr>
        <w:t>Nature</w:t>
      </w:r>
      <w:r w:rsidRPr="004D4266">
        <w:rPr>
          <w:rFonts w:ascii="Tw Cen MT" w:hAnsi="Tw Cen MT" w:cs="Segoe UI"/>
          <w:b w:val="0"/>
          <w:color w:val="auto"/>
          <w:szCs w:val="20"/>
          <w:shd w:val="clear" w:color="auto" w:fill="FFFFFF"/>
        </w:rPr>
        <w:t>. 1994, 372, 425-32. doi: 10.1038/372425a0. Erratum in: Nature 1995 Mar 30;374(6521):479. PMID: 7984236.</w:t>
      </w:r>
    </w:p>
    <w:p w14:paraId="387B30B5" w14:textId="50A5F229" w:rsidR="00DD7E2F" w:rsidRDefault="00DD7E2F">
      <w:pPr>
        <w:spacing w:after="0" w:line="249" w:lineRule="auto"/>
        <w:ind w:left="0" w:right="0" w:firstLine="0"/>
        <w:jc w:val="left"/>
      </w:pPr>
    </w:p>
    <w:sectPr w:rsidR="00DD7E2F">
      <w:type w:val="continuous"/>
      <w:pgSz w:w="11906" w:h="16838"/>
      <w:pgMar w:top="3400" w:right="723" w:bottom="1491" w:left="4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1801F" w14:textId="77777777" w:rsidR="0033566F" w:rsidRDefault="0033566F">
      <w:pPr>
        <w:spacing w:after="0" w:line="240" w:lineRule="auto"/>
      </w:pPr>
      <w:r>
        <w:separator/>
      </w:r>
    </w:p>
  </w:endnote>
  <w:endnote w:type="continuationSeparator" w:id="0">
    <w:p w14:paraId="5DAF5A4E" w14:textId="77777777" w:rsidR="0033566F" w:rsidRDefault="00335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 w:tblpY="15960"/>
      <w:tblOverlap w:val="never"/>
      <w:tblW w:w="11886" w:type="dxa"/>
      <w:tblInd w:w="0" w:type="dxa"/>
      <w:tblCellMar>
        <w:top w:w="0" w:type="dxa"/>
        <w:left w:w="263" w:type="dxa"/>
        <w:bottom w:w="144" w:type="dxa"/>
        <w:right w:w="115" w:type="dxa"/>
      </w:tblCellMar>
      <w:tblLook w:val="04A0" w:firstRow="1" w:lastRow="0" w:firstColumn="1" w:lastColumn="0" w:noHBand="0" w:noVBand="1"/>
    </w:tblPr>
    <w:tblGrid>
      <w:gridCol w:w="11886"/>
    </w:tblGrid>
    <w:tr w:rsidR="00DD7E2F" w14:paraId="777A18BC" w14:textId="77777777">
      <w:trPr>
        <w:trHeight w:val="868"/>
      </w:trPr>
      <w:tc>
        <w:tcPr>
          <w:tcW w:w="11886" w:type="dxa"/>
          <w:tcBorders>
            <w:top w:val="nil"/>
            <w:left w:val="nil"/>
            <w:bottom w:val="nil"/>
            <w:right w:val="nil"/>
          </w:tcBorders>
          <w:shd w:val="clear" w:color="auto" w:fill="000000"/>
          <w:vAlign w:val="bottom"/>
        </w:tcPr>
        <w:p w14:paraId="43DFB045" w14:textId="77777777" w:rsidR="00DD7E2F" w:rsidRDefault="0033566F">
          <w:pPr>
            <w:tabs>
              <w:tab w:val="center" w:pos="9541"/>
            </w:tabs>
            <w:spacing w:after="0" w:line="259" w:lineRule="auto"/>
            <w:ind w:left="0" w:right="0" w:firstLine="0"/>
            <w:jc w:val="left"/>
          </w:pPr>
          <w:r>
            <w:rPr>
              <w:rFonts w:ascii="Times New Roman" w:eastAsia="Times New Roman" w:hAnsi="Times New Roman" w:cs="Times New Roman"/>
              <w:color w:val="FFFFFF"/>
              <w:sz w:val="24"/>
            </w:rPr>
            <w:t>Volume 6, 2022</w:t>
          </w:r>
          <w:r>
            <w:rPr>
              <w:rFonts w:ascii="Times New Roman" w:eastAsia="Times New Roman" w:hAnsi="Times New Roman" w:cs="Times New Roman"/>
              <w:color w:val="FFFFFF"/>
              <w:sz w:val="24"/>
            </w:rPr>
            <w:tab/>
            <w:t>Page-</w:t>
          </w:r>
          <w:r>
            <w:fldChar w:fldCharType="begin"/>
          </w:r>
          <w:r>
            <w:instrText xml:space="preserve"> PAGE   \* MERGEFORMAT </w:instrText>
          </w:r>
          <w:r>
            <w:fldChar w:fldCharType="separate"/>
          </w:r>
          <w:r>
            <w:rPr>
              <w:rFonts w:ascii="Times New Roman" w:eastAsia="Times New Roman" w:hAnsi="Times New Roman" w:cs="Times New Roman"/>
              <w:color w:val="FFFFFF"/>
              <w:sz w:val="24"/>
            </w:rPr>
            <w:t>1</w:t>
          </w:r>
          <w:r>
            <w:rPr>
              <w:rFonts w:ascii="Times New Roman" w:eastAsia="Times New Roman" w:hAnsi="Times New Roman" w:cs="Times New Roman"/>
              <w:color w:val="FFFFFF"/>
              <w:sz w:val="24"/>
            </w:rPr>
            <w:fldChar w:fldCharType="end"/>
          </w:r>
          <w:r>
            <w:rPr>
              <w:rFonts w:ascii="Times New Roman" w:eastAsia="Times New Roman" w:hAnsi="Times New Roman" w:cs="Times New Roman"/>
              <w:color w:val="FFFFFF"/>
              <w:sz w:val="24"/>
            </w:rPr>
            <w:t>/</w:t>
          </w:r>
          <w:r>
            <w:fldChar w:fldCharType="begin"/>
          </w:r>
          <w:r>
            <w:instrText xml:space="preserve"> NUMPAGES   \* MERGEFORMAT </w:instrText>
          </w:r>
          <w:r>
            <w:fldChar w:fldCharType="separate"/>
          </w:r>
          <w:r>
            <w:rPr>
              <w:rFonts w:ascii="Times New Roman" w:eastAsia="Times New Roman" w:hAnsi="Times New Roman" w:cs="Times New Roman"/>
              <w:color w:val="FFFFFF"/>
              <w:sz w:val="24"/>
            </w:rPr>
            <w:t>3</w:t>
          </w:r>
          <w:r>
            <w:rPr>
              <w:rFonts w:ascii="Times New Roman" w:eastAsia="Times New Roman" w:hAnsi="Times New Roman" w:cs="Times New Roman"/>
              <w:color w:val="FFFFFF"/>
              <w:sz w:val="24"/>
            </w:rPr>
            <w:fldChar w:fldCharType="end"/>
          </w:r>
        </w:p>
      </w:tc>
    </w:tr>
  </w:tbl>
  <w:p w14:paraId="2213E40D" w14:textId="77777777" w:rsidR="00DD7E2F" w:rsidRDefault="00DD7E2F">
    <w:pPr>
      <w:spacing w:after="0" w:line="259" w:lineRule="auto"/>
      <w:ind w:left="-720" w:right="10768"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 w:tblpY="15960"/>
      <w:tblOverlap w:val="never"/>
      <w:tblW w:w="11886" w:type="dxa"/>
      <w:tblInd w:w="0" w:type="dxa"/>
      <w:tblCellMar>
        <w:top w:w="0" w:type="dxa"/>
        <w:left w:w="263" w:type="dxa"/>
        <w:bottom w:w="144" w:type="dxa"/>
        <w:right w:w="115" w:type="dxa"/>
      </w:tblCellMar>
      <w:tblLook w:val="04A0" w:firstRow="1" w:lastRow="0" w:firstColumn="1" w:lastColumn="0" w:noHBand="0" w:noVBand="1"/>
    </w:tblPr>
    <w:tblGrid>
      <w:gridCol w:w="11886"/>
    </w:tblGrid>
    <w:tr w:rsidR="00DD7E2F" w14:paraId="3B113AC6" w14:textId="77777777">
      <w:trPr>
        <w:trHeight w:val="868"/>
      </w:trPr>
      <w:tc>
        <w:tcPr>
          <w:tcW w:w="11886" w:type="dxa"/>
          <w:tcBorders>
            <w:top w:val="nil"/>
            <w:left w:val="nil"/>
            <w:bottom w:val="nil"/>
            <w:right w:val="nil"/>
          </w:tcBorders>
          <w:shd w:val="clear" w:color="auto" w:fill="000000"/>
          <w:vAlign w:val="bottom"/>
        </w:tcPr>
        <w:p w14:paraId="2D01D9E7" w14:textId="77777777" w:rsidR="00DD7E2F" w:rsidRDefault="0033566F">
          <w:pPr>
            <w:tabs>
              <w:tab w:val="center" w:pos="9541"/>
            </w:tabs>
            <w:spacing w:after="0" w:line="259" w:lineRule="auto"/>
            <w:ind w:left="0" w:right="0" w:firstLine="0"/>
            <w:jc w:val="left"/>
          </w:pPr>
          <w:r>
            <w:rPr>
              <w:rFonts w:ascii="Times New Roman" w:eastAsia="Times New Roman" w:hAnsi="Times New Roman" w:cs="Times New Roman"/>
              <w:color w:val="FFFFFF"/>
              <w:sz w:val="24"/>
            </w:rPr>
            <w:t>Volume 6, 2022</w:t>
          </w:r>
          <w:r>
            <w:rPr>
              <w:rFonts w:ascii="Times New Roman" w:eastAsia="Times New Roman" w:hAnsi="Times New Roman" w:cs="Times New Roman"/>
              <w:color w:val="FFFFFF"/>
              <w:sz w:val="24"/>
            </w:rPr>
            <w:tab/>
            <w:t>Page-</w:t>
          </w:r>
          <w:r>
            <w:fldChar w:fldCharType="begin"/>
          </w:r>
          <w:r>
            <w:instrText xml:space="preserve"> PAGE   \* MERGEFORMAT </w:instrText>
          </w:r>
          <w:r>
            <w:fldChar w:fldCharType="separate"/>
          </w:r>
          <w:r>
            <w:rPr>
              <w:rFonts w:ascii="Times New Roman" w:eastAsia="Times New Roman" w:hAnsi="Times New Roman" w:cs="Times New Roman"/>
              <w:color w:val="FFFFFF"/>
              <w:sz w:val="24"/>
            </w:rPr>
            <w:t>1</w:t>
          </w:r>
          <w:r>
            <w:rPr>
              <w:rFonts w:ascii="Times New Roman" w:eastAsia="Times New Roman" w:hAnsi="Times New Roman" w:cs="Times New Roman"/>
              <w:color w:val="FFFFFF"/>
              <w:sz w:val="24"/>
            </w:rPr>
            <w:fldChar w:fldCharType="end"/>
          </w:r>
          <w:r>
            <w:rPr>
              <w:rFonts w:ascii="Times New Roman" w:eastAsia="Times New Roman" w:hAnsi="Times New Roman" w:cs="Times New Roman"/>
              <w:color w:val="FFFFFF"/>
              <w:sz w:val="24"/>
            </w:rPr>
            <w:t>/</w:t>
          </w:r>
          <w:r>
            <w:fldChar w:fldCharType="begin"/>
          </w:r>
          <w:r>
            <w:instrText xml:space="preserve"> NUMPAGES   \* MERGEFORMAT </w:instrText>
          </w:r>
          <w:r>
            <w:fldChar w:fldCharType="separate"/>
          </w:r>
          <w:r>
            <w:rPr>
              <w:rFonts w:ascii="Times New Roman" w:eastAsia="Times New Roman" w:hAnsi="Times New Roman" w:cs="Times New Roman"/>
              <w:color w:val="FFFFFF"/>
              <w:sz w:val="24"/>
            </w:rPr>
            <w:t>3</w:t>
          </w:r>
          <w:r>
            <w:rPr>
              <w:rFonts w:ascii="Times New Roman" w:eastAsia="Times New Roman" w:hAnsi="Times New Roman" w:cs="Times New Roman"/>
              <w:color w:val="FFFFFF"/>
              <w:sz w:val="24"/>
            </w:rPr>
            <w:fldChar w:fldCharType="end"/>
          </w:r>
        </w:p>
      </w:tc>
    </w:tr>
  </w:tbl>
  <w:p w14:paraId="1F089F30" w14:textId="77777777" w:rsidR="00DD7E2F" w:rsidRDefault="00DD7E2F">
    <w:pPr>
      <w:spacing w:after="0" w:line="259" w:lineRule="auto"/>
      <w:ind w:left="-720" w:right="1076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 w:tblpY="15960"/>
      <w:tblOverlap w:val="never"/>
      <w:tblW w:w="11886" w:type="dxa"/>
      <w:tblInd w:w="0" w:type="dxa"/>
      <w:tblCellMar>
        <w:top w:w="0" w:type="dxa"/>
        <w:left w:w="263" w:type="dxa"/>
        <w:bottom w:w="144" w:type="dxa"/>
        <w:right w:w="115" w:type="dxa"/>
      </w:tblCellMar>
      <w:tblLook w:val="04A0" w:firstRow="1" w:lastRow="0" w:firstColumn="1" w:lastColumn="0" w:noHBand="0" w:noVBand="1"/>
    </w:tblPr>
    <w:tblGrid>
      <w:gridCol w:w="11886"/>
    </w:tblGrid>
    <w:tr w:rsidR="00DD7E2F" w14:paraId="580D0C3F" w14:textId="77777777">
      <w:trPr>
        <w:trHeight w:val="868"/>
      </w:trPr>
      <w:tc>
        <w:tcPr>
          <w:tcW w:w="11886" w:type="dxa"/>
          <w:tcBorders>
            <w:top w:val="nil"/>
            <w:left w:val="nil"/>
            <w:bottom w:val="nil"/>
            <w:right w:val="nil"/>
          </w:tcBorders>
          <w:shd w:val="clear" w:color="auto" w:fill="000000"/>
          <w:vAlign w:val="bottom"/>
        </w:tcPr>
        <w:p w14:paraId="03A47AF0" w14:textId="77777777" w:rsidR="00DD7E2F" w:rsidRDefault="0033566F">
          <w:pPr>
            <w:tabs>
              <w:tab w:val="center" w:pos="9541"/>
            </w:tabs>
            <w:spacing w:after="0" w:line="259" w:lineRule="auto"/>
            <w:ind w:left="0" w:right="0" w:firstLine="0"/>
            <w:jc w:val="left"/>
          </w:pPr>
          <w:r>
            <w:rPr>
              <w:rFonts w:ascii="Times New Roman" w:eastAsia="Times New Roman" w:hAnsi="Times New Roman" w:cs="Times New Roman"/>
              <w:color w:val="FFFFFF"/>
              <w:sz w:val="24"/>
            </w:rPr>
            <w:t>Volume 6, 2022</w:t>
          </w:r>
          <w:r>
            <w:rPr>
              <w:rFonts w:ascii="Times New Roman" w:eastAsia="Times New Roman" w:hAnsi="Times New Roman" w:cs="Times New Roman"/>
              <w:color w:val="FFFFFF"/>
              <w:sz w:val="24"/>
            </w:rPr>
            <w:tab/>
            <w:t>Page-</w:t>
          </w:r>
          <w:r>
            <w:fldChar w:fldCharType="begin"/>
          </w:r>
          <w:r>
            <w:instrText xml:space="preserve"> PAGE   \* MERGEFORMAT </w:instrText>
          </w:r>
          <w:r>
            <w:fldChar w:fldCharType="separate"/>
          </w:r>
          <w:r>
            <w:rPr>
              <w:rFonts w:ascii="Times New Roman" w:eastAsia="Times New Roman" w:hAnsi="Times New Roman" w:cs="Times New Roman"/>
              <w:color w:val="FFFFFF"/>
              <w:sz w:val="24"/>
            </w:rPr>
            <w:t>1</w:t>
          </w:r>
          <w:r>
            <w:rPr>
              <w:rFonts w:ascii="Times New Roman" w:eastAsia="Times New Roman" w:hAnsi="Times New Roman" w:cs="Times New Roman"/>
              <w:color w:val="FFFFFF"/>
              <w:sz w:val="24"/>
            </w:rPr>
            <w:fldChar w:fldCharType="end"/>
          </w:r>
          <w:r>
            <w:rPr>
              <w:rFonts w:ascii="Times New Roman" w:eastAsia="Times New Roman" w:hAnsi="Times New Roman" w:cs="Times New Roman"/>
              <w:color w:val="FFFFFF"/>
              <w:sz w:val="24"/>
            </w:rPr>
            <w:t>/</w:t>
          </w:r>
          <w:r>
            <w:fldChar w:fldCharType="begin"/>
          </w:r>
          <w:r>
            <w:instrText xml:space="preserve"> NUMPAGES   \* MERGEFORMAT </w:instrText>
          </w:r>
          <w:r>
            <w:fldChar w:fldCharType="separate"/>
          </w:r>
          <w:r>
            <w:rPr>
              <w:rFonts w:ascii="Times New Roman" w:eastAsia="Times New Roman" w:hAnsi="Times New Roman" w:cs="Times New Roman"/>
              <w:color w:val="FFFFFF"/>
              <w:sz w:val="24"/>
            </w:rPr>
            <w:t>3</w:t>
          </w:r>
          <w:r>
            <w:rPr>
              <w:rFonts w:ascii="Times New Roman" w:eastAsia="Times New Roman" w:hAnsi="Times New Roman" w:cs="Times New Roman"/>
              <w:color w:val="FFFFFF"/>
              <w:sz w:val="24"/>
            </w:rPr>
            <w:fldChar w:fldCharType="end"/>
          </w:r>
        </w:p>
      </w:tc>
    </w:tr>
  </w:tbl>
  <w:p w14:paraId="079BBC89" w14:textId="77777777" w:rsidR="00DD7E2F" w:rsidRDefault="00DD7E2F">
    <w:pPr>
      <w:spacing w:after="0" w:line="259" w:lineRule="auto"/>
      <w:ind w:left="-720" w:right="10768"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1FA63" w14:textId="77777777" w:rsidR="0033566F" w:rsidRDefault="0033566F">
      <w:pPr>
        <w:spacing w:after="0" w:line="240" w:lineRule="auto"/>
      </w:pPr>
      <w:r>
        <w:separator/>
      </w:r>
    </w:p>
  </w:footnote>
  <w:footnote w:type="continuationSeparator" w:id="0">
    <w:p w14:paraId="2C74AD87" w14:textId="77777777" w:rsidR="0033566F" w:rsidRDefault="00335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 w:tblpY="10"/>
      <w:tblOverlap w:val="never"/>
      <w:tblW w:w="11896" w:type="dxa"/>
      <w:tblInd w:w="0" w:type="dxa"/>
      <w:tblCellMar>
        <w:top w:w="0" w:type="dxa"/>
        <w:left w:w="710" w:type="dxa"/>
        <w:bottom w:w="321" w:type="dxa"/>
        <w:right w:w="625" w:type="dxa"/>
      </w:tblCellMar>
      <w:tblLook w:val="04A0" w:firstRow="1" w:lastRow="0" w:firstColumn="1" w:lastColumn="0" w:noHBand="0" w:noVBand="1"/>
    </w:tblPr>
    <w:tblGrid>
      <w:gridCol w:w="11896"/>
    </w:tblGrid>
    <w:tr w:rsidR="00DD7E2F" w14:paraId="5E154234" w14:textId="77777777">
      <w:trPr>
        <w:trHeight w:val="2490"/>
      </w:trPr>
      <w:tc>
        <w:tcPr>
          <w:tcW w:w="11896" w:type="dxa"/>
          <w:tcBorders>
            <w:top w:val="nil"/>
            <w:left w:val="nil"/>
            <w:bottom w:val="nil"/>
            <w:right w:val="nil"/>
          </w:tcBorders>
          <w:shd w:val="clear" w:color="auto" w:fill="000000"/>
          <w:vAlign w:val="bottom"/>
        </w:tcPr>
        <w:p w14:paraId="700E6C10" w14:textId="77777777" w:rsidR="00DD7E2F" w:rsidRDefault="0033566F">
          <w:pPr>
            <w:spacing w:after="126" w:line="259" w:lineRule="auto"/>
            <w:ind w:left="0" w:right="0" w:firstLine="0"/>
            <w:jc w:val="left"/>
          </w:pPr>
          <w:r>
            <w:rPr>
              <w:b/>
              <w:color w:val="1FBBC5"/>
              <w:sz w:val="28"/>
            </w:rPr>
            <w:t>13</w:t>
          </w:r>
          <w:r>
            <w:rPr>
              <w:b/>
              <w:color w:val="1FBBC5"/>
              <w:sz w:val="25"/>
              <w:vertAlign w:val="superscript"/>
            </w:rPr>
            <w:t>th</w:t>
          </w:r>
          <w:r>
            <w:rPr>
              <w:b/>
              <w:color w:val="1FBBC5"/>
              <w:sz w:val="28"/>
            </w:rPr>
            <w:t xml:space="preserve"> International Conference on </w:t>
          </w:r>
        </w:p>
        <w:p w14:paraId="7454999F" w14:textId="77777777" w:rsidR="00DD7E2F" w:rsidRDefault="0033566F">
          <w:pPr>
            <w:tabs>
              <w:tab w:val="right" w:pos="10560"/>
            </w:tabs>
            <w:spacing w:after="31" w:line="259" w:lineRule="auto"/>
            <w:ind w:left="0" w:right="0" w:firstLine="0"/>
            <w:jc w:val="left"/>
          </w:pPr>
          <w:r>
            <w:rPr>
              <w:b/>
              <w:color w:val="1FBBC5"/>
              <w:sz w:val="32"/>
            </w:rPr>
            <w:t>Endocrinology &amp; Diabetology</w:t>
          </w:r>
          <w:r>
            <w:rPr>
              <w:b/>
              <w:color w:val="1FBBC5"/>
              <w:sz w:val="32"/>
            </w:rPr>
            <w:tab/>
          </w:r>
          <w:proofErr w:type="spellStart"/>
          <w:r>
            <w:rPr>
              <w:b/>
              <w:color w:val="1FBBC5"/>
              <w:sz w:val="28"/>
            </w:rPr>
            <w:t>Gynecology</w:t>
          </w:r>
          <w:proofErr w:type="spellEnd"/>
          <w:r>
            <w:rPr>
              <w:b/>
              <w:color w:val="1FBBC5"/>
              <w:sz w:val="28"/>
            </w:rPr>
            <w:t xml:space="preserve"> and Reproductive Endocrinology</w:t>
          </w:r>
        </w:p>
        <w:p w14:paraId="6C9653AF" w14:textId="77777777" w:rsidR="00DD7E2F" w:rsidRDefault="0033566F">
          <w:pPr>
            <w:spacing w:after="0" w:line="259" w:lineRule="auto"/>
            <w:ind w:left="0" w:right="0" w:firstLine="0"/>
          </w:pPr>
          <w:r>
            <w:rPr>
              <w:rFonts w:ascii="Arial" w:eastAsia="Arial" w:hAnsi="Arial" w:cs="Arial"/>
              <w:color w:val="FFFFFF"/>
            </w:rPr>
            <w:t>June 06-07, 2022  I Florida, USA</w:t>
          </w:r>
          <w:r>
            <w:rPr>
              <w:rFonts w:ascii="Arial" w:eastAsia="Arial" w:hAnsi="Arial" w:cs="Arial"/>
              <w:color w:val="FFFFFF"/>
            </w:rPr>
            <w:tab/>
          </w:r>
          <w:r>
            <w:rPr>
              <w:rFonts w:ascii="Times New Roman" w:eastAsia="Times New Roman" w:hAnsi="Times New Roman" w:cs="Times New Roman"/>
              <w:color w:val="FFFFFF"/>
              <w:sz w:val="24"/>
            </w:rPr>
            <w:t xml:space="preserve">ISSN: 2591-7994 </w:t>
          </w:r>
          <w:r>
            <w:rPr>
              <w:rFonts w:ascii="Times New Roman" w:eastAsia="Times New Roman" w:hAnsi="Times New Roman" w:cs="Times New Roman"/>
              <w:color w:val="FFFFFF"/>
            </w:rPr>
            <w:t>endocrinology.euroscicon.com https://www.alliedacademies.org/gynecology-reproductive-endocrinology</w:t>
          </w:r>
        </w:p>
      </w:tc>
    </w:tr>
  </w:tbl>
  <w:p w14:paraId="7099B8CD" w14:textId="77777777" w:rsidR="00DD7E2F" w:rsidRDefault="00DD7E2F">
    <w:pPr>
      <w:spacing w:after="0" w:line="259" w:lineRule="auto"/>
      <w:ind w:left="-720" w:right="10768" w:firstLine="0"/>
      <w:jc w:val="left"/>
    </w:pPr>
  </w:p>
  <w:p w14:paraId="54539099" w14:textId="77777777" w:rsidR="00DD7E2F" w:rsidRDefault="0033566F">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985F83C" wp14:editId="239112EE">
              <wp:simplePos x="0" y="0"/>
              <wp:positionH relativeFrom="page">
                <wp:posOffset>0</wp:posOffset>
              </wp:positionH>
              <wp:positionV relativeFrom="page">
                <wp:posOffset>1549350</wp:posOffset>
              </wp:positionV>
              <wp:extent cx="7559993" cy="355600"/>
              <wp:effectExtent l="0" t="0" r="0" b="0"/>
              <wp:wrapNone/>
              <wp:docPr id="2835" name="Group 2835"/>
              <wp:cNvGraphicFramePr/>
              <a:graphic xmlns:a="http://schemas.openxmlformats.org/drawingml/2006/main">
                <a:graphicData uri="http://schemas.microsoft.com/office/word/2010/wordprocessingGroup">
                  <wpg:wgp>
                    <wpg:cNvGrpSpPr/>
                    <wpg:grpSpPr>
                      <a:xfrm>
                        <a:off x="0" y="0"/>
                        <a:ext cx="7559993" cy="355600"/>
                        <a:chOff x="0" y="0"/>
                        <a:chExt cx="7559993" cy="355600"/>
                      </a:xfrm>
                    </wpg:grpSpPr>
                    <wps:wsp>
                      <wps:cNvPr id="2938" name="Shape 2938"/>
                      <wps:cNvSpPr/>
                      <wps:spPr>
                        <a:xfrm>
                          <a:off x="0" y="0"/>
                          <a:ext cx="7559993" cy="355600"/>
                        </a:xfrm>
                        <a:custGeom>
                          <a:avLst/>
                          <a:gdLst/>
                          <a:ahLst/>
                          <a:cxnLst/>
                          <a:rect l="0" t="0" r="0" b="0"/>
                          <a:pathLst>
                            <a:path w="7559993" h="355600">
                              <a:moveTo>
                                <a:pt x="0" y="0"/>
                              </a:moveTo>
                              <a:lnTo>
                                <a:pt x="7559993" y="0"/>
                              </a:lnTo>
                              <a:lnTo>
                                <a:pt x="7559993" y="355600"/>
                              </a:lnTo>
                              <a:lnTo>
                                <a:pt x="0" y="355600"/>
                              </a:lnTo>
                              <a:lnTo>
                                <a:pt x="0" y="0"/>
                              </a:lnTo>
                            </a:path>
                          </a:pathLst>
                        </a:custGeom>
                        <a:ln w="0" cap="flat">
                          <a:miter lim="127000"/>
                        </a:ln>
                      </wps:spPr>
                      <wps:style>
                        <a:lnRef idx="0">
                          <a:srgbClr val="000000">
                            <a:alpha val="0"/>
                          </a:srgbClr>
                        </a:lnRef>
                        <a:fillRef idx="1">
                          <a:srgbClr val="1FBBC5"/>
                        </a:fillRef>
                        <a:effectRef idx="0">
                          <a:scrgbClr r="0" g="0" b="0"/>
                        </a:effectRef>
                        <a:fontRef idx="none"/>
                      </wps:style>
                      <wps:bodyPr/>
                    </wps:wsp>
                  </wpg:wgp>
                </a:graphicData>
              </a:graphic>
            </wp:anchor>
          </w:drawing>
        </mc:Choice>
        <mc:Fallback xmlns:a="http://schemas.openxmlformats.org/drawingml/2006/main">
          <w:pict>
            <v:group id="Group 2835" style="width:595.275pt;height:28pt;position:absolute;z-index:-2147483648;mso-position-horizontal-relative:page;mso-position-horizontal:absolute;margin-left:0pt;mso-position-vertical-relative:page;margin-top:121.996pt;" coordsize="75599,3556">
              <v:shape id="Shape 2939" style="position:absolute;width:75599;height:3556;left:0;top:0;" coordsize="7559993,355600" path="m0,0l7559993,0l7559993,355600l0,355600l0,0">
                <v:stroke weight="0pt" endcap="flat" joinstyle="miter" miterlimit="10" on="false" color="#000000" opacity="0"/>
                <v:fill on="true" color="#1fbbc5"/>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 w:tblpY="10"/>
      <w:tblOverlap w:val="never"/>
      <w:tblW w:w="11896" w:type="dxa"/>
      <w:tblInd w:w="0" w:type="dxa"/>
      <w:tblCellMar>
        <w:top w:w="0" w:type="dxa"/>
        <w:left w:w="710" w:type="dxa"/>
        <w:bottom w:w="321" w:type="dxa"/>
        <w:right w:w="625" w:type="dxa"/>
      </w:tblCellMar>
      <w:tblLook w:val="04A0" w:firstRow="1" w:lastRow="0" w:firstColumn="1" w:lastColumn="0" w:noHBand="0" w:noVBand="1"/>
    </w:tblPr>
    <w:tblGrid>
      <w:gridCol w:w="11896"/>
    </w:tblGrid>
    <w:tr w:rsidR="00DD7E2F" w14:paraId="54695CFF" w14:textId="77777777">
      <w:trPr>
        <w:trHeight w:val="2490"/>
      </w:trPr>
      <w:tc>
        <w:tcPr>
          <w:tcW w:w="11896" w:type="dxa"/>
          <w:tcBorders>
            <w:top w:val="nil"/>
            <w:left w:val="nil"/>
            <w:bottom w:val="nil"/>
            <w:right w:val="nil"/>
          </w:tcBorders>
          <w:shd w:val="clear" w:color="auto" w:fill="000000"/>
          <w:vAlign w:val="bottom"/>
        </w:tcPr>
        <w:p w14:paraId="2113338F" w14:textId="77777777" w:rsidR="00DD7E2F" w:rsidRDefault="0033566F">
          <w:pPr>
            <w:spacing w:after="126" w:line="259" w:lineRule="auto"/>
            <w:ind w:left="0" w:right="0" w:firstLine="0"/>
            <w:jc w:val="left"/>
          </w:pPr>
          <w:r>
            <w:rPr>
              <w:b/>
              <w:color w:val="1FBBC5"/>
              <w:sz w:val="28"/>
            </w:rPr>
            <w:t>13</w:t>
          </w:r>
          <w:r>
            <w:rPr>
              <w:b/>
              <w:color w:val="1FBBC5"/>
              <w:sz w:val="25"/>
              <w:vertAlign w:val="superscript"/>
            </w:rPr>
            <w:t>th</w:t>
          </w:r>
          <w:r>
            <w:rPr>
              <w:b/>
              <w:color w:val="1FBBC5"/>
              <w:sz w:val="28"/>
            </w:rPr>
            <w:t xml:space="preserve"> International Conference on </w:t>
          </w:r>
        </w:p>
        <w:p w14:paraId="78ADBA8E" w14:textId="77777777" w:rsidR="00DD7E2F" w:rsidRDefault="0033566F">
          <w:pPr>
            <w:tabs>
              <w:tab w:val="right" w:pos="10560"/>
            </w:tabs>
            <w:spacing w:after="31" w:line="259" w:lineRule="auto"/>
            <w:ind w:left="0" w:right="0" w:firstLine="0"/>
            <w:jc w:val="left"/>
          </w:pPr>
          <w:r>
            <w:rPr>
              <w:b/>
              <w:color w:val="1FBBC5"/>
              <w:sz w:val="32"/>
            </w:rPr>
            <w:t>Endocrinology &amp; Diabetology</w:t>
          </w:r>
          <w:r>
            <w:rPr>
              <w:b/>
              <w:color w:val="1FBBC5"/>
              <w:sz w:val="32"/>
            </w:rPr>
            <w:tab/>
          </w:r>
          <w:proofErr w:type="spellStart"/>
          <w:r>
            <w:rPr>
              <w:b/>
              <w:color w:val="1FBBC5"/>
              <w:sz w:val="28"/>
            </w:rPr>
            <w:t>Gynecology</w:t>
          </w:r>
          <w:proofErr w:type="spellEnd"/>
          <w:r>
            <w:rPr>
              <w:b/>
              <w:color w:val="1FBBC5"/>
              <w:sz w:val="28"/>
            </w:rPr>
            <w:t xml:space="preserve"> and Reproductive Endocrinology</w:t>
          </w:r>
        </w:p>
        <w:p w14:paraId="3BDACFF9" w14:textId="77777777" w:rsidR="00DD7E2F" w:rsidRDefault="0033566F">
          <w:pPr>
            <w:spacing w:after="0" w:line="259" w:lineRule="auto"/>
            <w:ind w:left="0" w:right="0" w:firstLine="0"/>
          </w:pPr>
          <w:r>
            <w:rPr>
              <w:rFonts w:ascii="Arial" w:eastAsia="Arial" w:hAnsi="Arial" w:cs="Arial"/>
              <w:color w:val="FFFFFF"/>
            </w:rPr>
            <w:t>June 06-07, 2022  I Florida, USA</w:t>
          </w:r>
          <w:r>
            <w:rPr>
              <w:rFonts w:ascii="Arial" w:eastAsia="Arial" w:hAnsi="Arial" w:cs="Arial"/>
              <w:color w:val="FFFFFF"/>
            </w:rPr>
            <w:tab/>
          </w:r>
          <w:r>
            <w:rPr>
              <w:rFonts w:ascii="Times New Roman" w:eastAsia="Times New Roman" w:hAnsi="Times New Roman" w:cs="Times New Roman"/>
              <w:color w:val="FFFFFF"/>
              <w:sz w:val="24"/>
            </w:rPr>
            <w:t xml:space="preserve">ISSN: 2591-7994 </w:t>
          </w:r>
          <w:r>
            <w:rPr>
              <w:rFonts w:ascii="Times New Roman" w:eastAsia="Times New Roman" w:hAnsi="Times New Roman" w:cs="Times New Roman"/>
              <w:color w:val="FFFFFF"/>
            </w:rPr>
            <w:t>endocrinology.euroscicon.com https://www.alliedacademies.org/gynecology-reproductive-endocrinology</w:t>
          </w:r>
        </w:p>
      </w:tc>
    </w:tr>
  </w:tbl>
  <w:p w14:paraId="69217ECC" w14:textId="77777777" w:rsidR="00DD7E2F" w:rsidRDefault="00DD7E2F">
    <w:pPr>
      <w:spacing w:after="0" w:line="259" w:lineRule="auto"/>
      <w:ind w:left="-720" w:right="10768" w:firstLine="0"/>
      <w:jc w:val="left"/>
    </w:pPr>
  </w:p>
  <w:p w14:paraId="450A41FC" w14:textId="77777777" w:rsidR="00DD7E2F" w:rsidRDefault="0033566F">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F8FF521" wp14:editId="20BB9D1A">
              <wp:simplePos x="0" y="0"/>
              <wp:positionH relativeFrom="page">
                <wp:posOffset>0</wp:posOffset>
              </wp:positionH>
              <wp:positionV relativeFrom="page">
                <wp:posOffset>1549350</wp:posOffset>
              </wp:positionV>
              <wp:extent cx="7559993" cy="355600"/>
              <wp:effectExtent l="0" t="0" r="0" b="0"/>
              <wp:wrapNone/>
              <wp:docPr id="2788" name="Group 2788"/>
              <wp:cNvGraphicFramePr/>
              <a:graphic xmlns:a="http://schemas.openxmlformats.org/drawingml/2006/main">
                <a:graphicData uri="http://schemas.microsoft.com/office/word/2010/wordprocessingGroup">
                  <wpg:wgp>
                    <wpg:cNvGrpSpPr/>
                    <wpg:grpSpPr>
                      <a:xfrm>
                        <a:off x="0" y="0"/>
                        <a:ext cx="7559993" cy="355600"/>
                        <a:chOff x="0" y="0"/>
                        <a:chExt cx="7559993" cy="355600"/>
                      </a:xfrm>
                    </wpg:grpSpPr>
                    <wps:wsp>
                      <wps:cNvPr id="2936" name="Shape 2936"/>
                      <wps:cNvSpPr/>
                      <wps:spPr>
                        <a:xfrm>
                          <a:off x="0" y="0"/>
                          <a:ext cx="7559993" cy="355600"/>
                        </a:xfrm>
                        <a:custGeom>
                          <a:avLst/>
                          <a:gdLst/>
                          <a:ahLst/>
                          <a:cxnLst/>
                          <a:rect l="0" t="0" r="0" b="0"/>
                          <a:pathLst>
                            <a:path w="7559993" h="355600">
                              <a:moveTo>
                                <a:pt x="0" y="0"/>
                              </a:moveTo>
                              <a:lnTo>
                                <a:pt x="7559993" y="0"/>
                              </a:lnTo>
                              <a:lnTo>
                                <a:pt x="7559993" y="355600"/>
                              </a:lnTo>
                              <a:lnTo>
                                <a:pt x="0" y="355600"/>
                              </a:lnTo>
                              <a:lnTo>
                                <a:pt x="0" y="0"/>
                              </a:lnTo>
                            </a:path>
                          </a:pathLst>
                        </a:custGeom>
                        <a:ln w="0" cap="flat">
                          <a:miter lim="127000"/>
                        </a:ln>
                      </wps:spPr>
                      <wps:style>
                        <a:lnRef idx="0">
                          <a:srgbClr val="000000">
                            <a:alpha val="0"/>
                          </a:srgbClr>
                        </a:lnRef>
                        <a:fillRef idx="1">
                          <a:srgbClr val="1FBBC5"/>
                        </a:fillRef>
                        <a:effectRef idx="0">
                          <a:scrgbClr r="0" g="0" b="0"/>
                        </a:effectRef>
                        <a:fontRef idx="none"/>
                      </wps:style>
                      <wps:bodyPr/>
                    </wps:wsp>
                  </wpg:wgp>
                </a:graphicData>
              </a:graphic>
            </wp:anchor>
          </w:drawing>
        </mc:Choice>
        <mc:Fallback xmlns:a="http://schemas.openxmlformats.org/drawingml/2006/main">
          <w:pict>
            <v:group id="Group 2788" style="width:595.275pt;height:28pt;position:absolute;z-index:-2147483648;mso-position-horizontal-relative:page;mso-position-horizontal:absolute;margin-left:0pt;mso-position-vertical-relative:page;margin-top:121.996pt;" coordsize="75599,3556">
              <v:shape id="Shape 2937" style="position:absolute;width:75599;height:3556;left:0;top:0;" coordsize="7559993,355600" path="m0,0l7559993,0l7559993,355600l0,355600l0,0">
                <v:stroke weight="0pt" endcap="flat" joinstyle="miter" miterlimit="10" on="false" color="#000000" opacity="0"/>
                <v:fill on="true" color="#1fbbc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 w:tblpY="10"/>
      <w:tblOverlap w:val="never"/>
      <w:tblW w:w="11896" w:type="dxa"/>
      <w:tblInd w:w="0" w:type="dxa"/>
      <w:tblCellMar>
        <w:top w:w="0" w:type="dxa"/>
        <w:left w:w="710" w:type="dxa"/>
        <w:bottom w:w="321" w:type="dxa"/>
        <w:right w:w="625" w:type="dxa"/>
      </w:tblCellMar>
      <w:tblLook w:val="04A0" w:firstRow="1" w:lastRow="0" w:firstColumn="1" w:lastColumn="0" w:noHBand="0" w:noVBand="1"/>
    </w:tblPr>
    <w:tblGrid>
      <w:gridCol w:w="11896"/>
    </w:tblGrid>
    <w:tr w:rsidR="00DD7E2F" w14:paraId="14370220" w14:textId="77777777">
      <w:trPr>
        <w:trHeight w:val="2490"/>
      </w:trPr>
      <w:tc>
        <w:tcPr>
          <w:tcW w:w="11896" w:type="dxa"/>
          <w:tcBorders>
            <w:top w:val="nil"/>
            <w:left w:val="nil"/>
            <w:bottom w:val="nil"/>
            <w:right w:val="nil"/>
          </w:tcBorders>
          <w:shd w:val="clear" w:color="auto" w:fill="000000"/>
          <w:vAlign w:val="bottom"/>
        </w:tcPr>
        <w:p w14:paraId="45D61ABA" w14:textId="77777777" w:rsidR="00DD7E2F" w:rsidRDefault="0033566F">
          <w:pPr>
            <w:spacing w:after="126" w:line="259" w:lineRule="auto"/>
            <w:ind w:left="0" w:right="0" w:firstLine="0"/>
            <w:jc w:val="left"/>
          </w:pPr>
          <w:r>
            <w:rPr>
              <w:b/>
              <w:color w:val="1FBBC5"/>
              <w:sz w:val="28"/>
            </w:rPr>
            <w:t>13</w:t>
          </w:r>
          <w:r>
            <w:rPr>
              <w:b/>
              <w:color w:val="1FBBC5"/>
              <w:sz w:val="25"/>
              <w:vertAlign w:val="superscript"/>
            </w:rPr>
            <w:t>th</w:t>
          </w:r>
          <w:r>
            <w:rPr>
              <w:b/>
              <w:color w:val="1FBBC5"/>
              <w:sz w:val="28"/>
            </w:rPr>
            <w:t xml:space="preserve"> International Conference on </w:t>
          </w:r>
        </w:p>
        <w:p w14:paraId="41CC1E86" w14:textId="77777777" w:rsidR="00DD7E2F" w:rsidRDefault="0033566F">
          <w:pPr>
            <w:tabs>
              <w:tab w:val="right" w:pos="10560"/>
            </w:tabs>
            <w:spacing w:after="31" w:line="259" w:lineRule="auto"/>
            <w:ind w:left="0" w:right="0" w:firstLine="0"/>
            <w:jc w:val="left"/>
          </w:pPr>
          <w:r>
            <w:rPr>
              <w:b/>
              <w:color w:val="1FBBC5"/>
              <w:sz w:val="32"/>
            </w:rPr>
            <w:t>Endocrinology &amp; Diabetology</w:t>
          </w:r>
          <w:r>
            <w:rPr>
              <w:b/>
              <w:color w:val="1FBBC5"/>
              <w:sz w:val="32"/>
            </w:rPr>
            <w:tab/>
          </w:r>
          <w:proofErr w:type="spellStart"/>
          <w:r>
            <w:rPr>
              <w:b/>
              <w:color w:val="1FBBC5"/>
              <w:sz w:val="28"/>
            </w:rPr>
            <w:t>Gynecology</w:t>
          </w:r>
          <w:proofErr w:type="spellEnd"/>
          <w:r>
            <w:rPr>
              <w:b/>
              <w:color w:val="1FBBC5"/>
              <w:sz w:val="28"/>
            </w:rPr>
            <w:t xml:space="preserve"> and Reproductive Endocrinology</w:t>
          </w:r>
        </w:p>
        <w:p w14:paraId="4EBBC30F" w14:textId="77777777" w:rsidR="00DD7E2F" w:rsidRDefault="0033566F">
          <w:pPr>
            <w:spacing w:after="0" w:line="259" w:lineRule="auto"/>
            <w:ind w:left="0" w:right="0" w:firstLine="0"/>
          </w:pPr>
          <w:r>
            <w:rPr>
              <w:rFonts w:ascii="Arial" w:eastAsia="Arial" w:hAnsi="Arial" w:cs="Arial"/>
              <w:color w:val="FFFFFF"/>
            </w:rPr>
            <w:t>June 06-07, 2022  I Florida, USA</w:t>
          </w:r>
          <w:r>
            <w:rPr>
              <w:rFonts w:ascii="Arial" w:eastAsia="Arial" w:hAnsi="Arial" w:cs="Arial"/>
              <w:color w:val="FFFFFF"/>
            </w:rPr>
            <w:tab/>
          </w:r>
          <w:r>
            <w:rPr>
              <w:rFonts w:ascii="Times New Roman" w:eastAsia="Times New Roman" w:hAnsi="Times New Roman" w:cs="Times New Roman"/>
              <w:color w:val="FFFFFF"/>
              <w:sz w:val="24"/>
            </w:rPr>
            <w:t xml:space="preserve">ISSN: 2591-7994 </w:t>
          </w:r>
          <w:r>
            <w:rPr>
              <w:rFonts w:ascii="Times New Roman" w:eastAsia="Times New Roman" w:hAnsi="Times New Roman" w:cs="Times New Roman"/>
              <w:color w:val="FFFFFF"/>
            </w:rPr>
            <w:t xml:space="preserve">endocrinology.euroscicon.com </w:t>
          </w:r>
          <w:r>
            <w:rPr>
              <w:rFonts w:ascii="Times New Roman" w:eastAsia="Times New Roman" w:hAnsi="Times New Roman" w:cs="Times New Roman"/>
              <w:color w:val="FFFFFF"/>
            </w:rPr>
            <w:t>https://www.alliedacademies.org/gynecology-reproductive-endocrinology</w:t>
          </w:r>
        </w:p>
      </w:tc>
    </w:tr>
  </w:tbl>
  <w:p w14:paraId="1D5939C7" w14:textId="77777777" w:rsidR="00DD7E2F" w:rsidRDefault="00DD7E2F">
    <w:pPr>
      <w:spacing w:after="0" w:line="259" w:lineRule="auto"/>
      <w:ind w:left="-720" w:right="10768" w:firstLine="0"/>
      <w:jc w:val="left"/>
    </w:pPr>
  </w:p>
  <w:p w14:paraId="030A4AF5" w14:textId="77777777" w:rsidR="00DD7E2F" w:rsidRDefault="0033566F">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5886A511" wp14:editId="407766FA">
              <wp:simplePos x="0" y="0"/>
              <wp:positionH relativeFrom="page">
                <wp:posOffset>0</wp:posOffset>
              </wp:positionH>
              <wp:positionV relativeFrom="page">
                <wp:posOffset>1549350</wp:posOffset>
              </wp:positionV>
              <wp:extent cx="7559993" cy="355600"/>
              <wp:effectExtent l="0" t="0" r="0" b="0"/>
              <wp:wrapNone/>
              <wp:docPr id="2741" name="Group 2741"/>
              <wp:cNvGraphicFramePr/>
              <a:graphic xmlns:a="http://schemas.openxmlformats.org/drawingml/2006/main">
                <a:graphicData uri="http://schemas.microsoft.com/office/word/2010/wordprocessingGroup">
                  <wpg:wgp>
                    <wpg:cNvGrpSpPr/>
                    <wpg:grpSpPr>
                      <a:xfrm>
                        <a:off x="0" y="0"/>
                        <a:ext cx="7559993" cy="355600"/>
                        <a:chOff x="0" y="0"/>
                        <a:chExt cx="7559993" cy="355600"/>
                      </a:xfrm>
                    </wpg:grpSpPr>
                    <wps:wsp>
                      <wps:cNvPr id="2934" name="Shape 2934"/>
                      <wps:cNvSpPr/>
                      <wps:spPr>
                        <a:xfrm>
                          <a:off x="0" y="0"/>
                          <a:ext cx="7559993" cy="355600"/>
                        </a:xfrm>
                        <a:custGeom>
                          <a:avLst/>
                          <a:gdLst/>
                          <a:ahLst/>
                          <a:cxnLst/>
                          <a:rect l="0" t="0" r="0" b="0"/>
                          <a:pathLst>
                            <a:path w="7559993" h="355600">
                              <a:moveTo>
                                <a:pt x="0" y="0"/>
                              </a:moveTo>
                              <a:lnTo>
                                <a:pt x="7559993" y="0"/>
                              </a:lnTo>
                              <a:lnTo>
                                <a:pt x="7559993" y="355600"/>
                              </a:lnTo>
                              <a:lnTo>
                                <a:pt x="0" y="355600"/>
                              </a:lnTo>
                              <a:lnTo>
                                <a:pt x="0" y="0"/>
                              </a:lnTo>
                            </a:path>
                          </a:pathLst>
                        </a:custGeom>
                        <a:ln w="0" cap="flat">
                          <a:miter lim="127000"/>
                        </a:ln>
                      </wps:spPr>
                      <wps:style>
                        <a:lnRef idx="0">
                          <a:srgbClr val="000000">
                            <a:alpha val="0"/>
                          </a:srgbClr>
                        </a:lnRef>
                        <a:fillRef idx="1">
                          <a:srgbClr val="1FBBC5"/>
                        </a:fillRef>
                        <a:effectRef idx="0">
                          <a:scrgbClr r="0" g="0" b="0"/>
                        </a:effectRef>
                        <a:fontRef idx="none"/>
                      </wps:style>
                      <wps:bodyPr/>
                    </wps:wsp>
                  </wpg:wgp>
                </a:graphicData>
              </a:graphic>
            </wp:anchor>
          </w:drawing>
        </mc:Choice>
        <mc:Fallback xmlns:a="http://schemas.openxmlformats.org/drawingml/2006/main">
          <w:pict>
            <v:group id="Group 2741" style="width:595.275pt;height:28pt;position:absolute;z-index:-2147483648;mso-position-horizontal-relative:page;mso-position-horizontal:absolute;margin-left:0pt;mso-position-vertical-relative:page;margin-top:121.996pt;" coordsize="75599,3556">
              <v:shape id="Shape 2935" style="position:absolute;width:75599;height:3556;left:0;top:0;" coordsize="7559993,355600" path="m0,0l7559993,0l7559993,355600l0,355600l0,0">
                <v:stroke weight="0pt" endcap="flat" joinstyle="miter" miterlimit="10" on="false" color="#000000" opacity="0"/>
                <v:fill on="true" color="#1fbbc5"/>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61EFB"/>
    <w:multiLevelType w:val="hybridMultilevel"/>
    <w:tmpl w:val="70AE5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517A59"/>
    <w:multiLevelType w:val="hybridMultilevel"/>
    <w:tmpl w:val="0C5EB436"/>
    <w:lvl w:ilvl="0" w:tplc="22B4DBC0">
      <w:start w:val="1"/>
      <w:numFmt w:val="decimal"/>
      <w:lvlText w:val="%1."/>
      <w:lvlJc w:val="left"/>
      <w:pPr>
        <w:ind w:left="599"/>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1" w:tplc="013C9FDC">
      <w:start w:val="1"/>
      <w:numFmt w:val="lowerLetter"/>
      <w:lvlText w:val="%2"/>
      <w:lvlJc w:val="left"/>
      <w:pPr>
        <w:ind w:left="133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2" w:tplc="48CE5856">
      <w:start w:val="1"/>
      <w:numFmt w:val="lowerRoman"/>
      <w:lvlText w:val="%3"/>
      <w:lvlJc w:val="left"/>
      <w:pPr>
        <w:ind w:left="205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3" w:tplc="2EB8A62E">
      <w:start w:val="1"/>
      <w:numFmt w:val="decimal"/>
      <w:lvlText w:val="%4"/>
      <w:lvlJc w:val="left"/>
      <w:pPr>
        <w:ind w:left="277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4" w:tplc="A16AD060">
      <w:start w:val="1"/>
      <w:numFmt w:val="lowerLetter"/>
      <w:lvlText w:val="%5"/>
      <w:lvlJc w:val="left"/>
      <w:pPr>
        <w:ind w:left="349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5" w:tplc="72385CEE">
      <w:start w:val="1"/>
      <w:numFmt w:val="lowerRoman"/>
      <w:lvlText w:val="%6"/>
      <w:lvlJc w:val="left"/>
      <w:pPr>
        <w:ind w:left="421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6" w:tplc="7FAC5672">
      <w:start w:val="1"/>
      <w:numFmt w:val="decimal"/>
      <w:lvlText w:val="%7"/>
      <w:lvlJc w:val="left"/>
      <w:pPr>
        <w:ind w:left="493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7" w:tplc="CFE2CAD2">
      <w:start w:val="1"/>
      <w:numFmt w:val="lowerLetter"/>
      <w:lvlText w:val="%8"/>
      <w:lvlJc w:val="left"/>
      <w:pPr>
        <w:ind w:left="565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lvl w:ilvl="8" w:tplc="78E435D6">
      <w:start w:val="1"/>
      <w:numFmt w:val="lowerRoman"/>
      <w:lvlText w:val="%9"/>
      <w:lvlJc w:val="left"/>
      <w:pPr>
        <w:ind w:left="6374"/>
      </w:pPr>
      <w:rPr>
        <w:rFonts w:ascii="Tw Cen MT" w:eastAsia="Tw Cen MT" w:hAnsi="Tw Cen MT" w:cs="Tw Cen MT"/>
        <w:b w:val="0"/>
        <w:i w:val="0"/>
        <w:strike w:val="0"/>
        <w:dstrike w:val="0"/>
        <w:color w:val="000000"/>
        <w:sz w:val="20"/>
        <w:szCs w:val="20"/>
        <w:u w:val="none" w:color="000000"/>
        <w:bdr w:val="none" w:sz="0" w:space="0" w:color="auto"/>
        <w:shd w:val="clear" w:color="auto" w:fill="auto"/>
        <w:vertAlign w:val="baseline"/>
      </w:rPr>
    </w:lvl>
  </w:abstractNum>
  <w:num w:numId="1" w16cid:durableId="1361322297">
    <w:abstractNumId w:val="1"/>
  </w:num>
  <w:num w:numId="2" w16cid:durableId="34933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E2F"/>
    <w:rsid w:val="001F0B85"/>
    <w:rsid w:val="0033566F"/>
    <w:rsid w:val="00443E23"/>
    <w:rsid w:val="007049DF"/>
    <w:rsid w:val="00A36E49"/>
    <w:rsid w:val="00DA3981"/>
    <w:rsid w:val="00DD7E2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7EDBA"/>
  <w15:docId w15:val="{C3112C1C-5AF5-4B65-8647-A83E43E13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3" w:line="350" w:lineRule="auto"/>
      <w:ind w:left="523" w:right="55" w:hanging="370"/>
      <w:jc w:val="both"/>
    </w:pPr>
    <w:rPr>
      <w:rFonts w:ascii="Tw Cen MT" w:eastAsia="Tw Cen MT" w:hAnsi="Tw Cen MT" w:cs="Tw Cen MT"/>
      <w:color w:val="000000"/>
      <w:sz w:val="20"/>
    </w:rPr>
  </w:style>
  <w:style w:type="paragraph" w:styleId="Heading1">
    <w:name w:val="heading 1"/>
    <w:next w:val="Normal"/>
    <w:link w:val="Heading1Char"/>
    <w:uiPriority w:val="9"/>
    <w:qFormat/>
    <w:pPr>
      <w:keepNext/>
      <w:keepLines/>
      <w:spacing w:after="35"/>
      <w:ind w:left="43" w:hanging="10"/>
      <w:outlineLvl w:val="0"/>
    </w:pPr>
    <w:rPr>
      <w:rFonts w:ascii="Tw Cen MT" w:eastAsia="Tw Cen MT" w:hAnsi="Tw Cen MT" w:cs="Tw Cen MT"/>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w Cen MT" w:eastAsia="Tw Cen MT" w:hAnsi="Tw Cen MT" w:cs="Tw Cen MT"/>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MDPI31text">
    <w:name w:val="MDPI_3.1_text"/>
    <w:qFormat/>
    <w:rsid w:val="001F0B85"/>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1F0B85"/>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character" w:styleId="Emphasis">
    <w:name w:val="Emphasis"/>
    <w:basedOn w:val="DefaultParagraphFont"/>
    <w:uiPriority w:val="20"/>
    <w:qFormat/>
    <w:rsid w:val="001F0B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Hameed Ullah KHAN</dc:creator>
  <cp:keywords/>
  <cp:lastModifiedBy>Hameed Ullah KHAN</cp:lastModifiedBy>
  <cp:revision>2</cp:revision>
  <dcterms:created xsi:type="dcterms:W3CDTF">2022-05-24T22:25:00Z</dcterms:created>
  <dcterms:modified xsi:type="dcterms:W3CDTF">2022-05-24T22:25:00Z</dcterms:modified>
</cp:coreProperties>
</file>