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AE2" w:rsidRPr="008804B3" w:rsidRDefault="00AE0AE2" w:rsidP="00AE0AE2">
      <w:pPr>
        <w:spacing w:line="480" w:lineRule="auto"/>
        <w:jc w:val="both"/>
        <w:rPr>
          <w:rFonts w:asciiTheme="majorBidi" w:eastAsia="Calibri" w:hAnsiTheme="majorBidi" w:cstheme="majorBidi"/>
          <w:b/>
          <w:bCs/>
          <w:lang w:bidi="fa-IR"/>
        </w:rPr>
      </w:pPr>
      <w:proofErr w:type="gramStart"/>
      <w:r w:rsidRPr="008804B3">
        <w:rPr>
          <w:rFonts w:asciiTheme="majorBidi" w:eastAsia="Calibri" w:hAnsiTheme="majorBidi" w:cstheme="majorBidi"/>
          <w:b/>
          <w:bCs/>
          <w:lang w:bidi="fa-IR"/>
        </w:rPr>
        <w:t>Changes of subtests of Wechsler Memory Scale and cognitive function in subjects with subclinical hypothyroidism following treatment with levothyroxine.</w:t>
      </w:r>
      <w:proofErr w:type="gramEnd"/>
    </w:p>
    <w:p w:rsidR="00AE0AE2" w:rsidRPr="008804B3" w:rsidRDefault="008804B3" w:rsidP="008804B3">
      <w:pPr>
        <w:spacing w:line="480" w:lineRule="auto"/>
        <w:rPr>
          <w:rFonts w:asciiTheme="majorBidi" w:hAnsiTheme="majorBidi" w:cstheme="majorBidi"/>
          <w:vertAlign w:val="superscript"/>
        </w:rPr>
      </w:pPr>
      <w:proofErr w:type="spellStart"/>
      <w:r w:rsidRPr="008804B3">
        <w:rPr>
          <w:rFonts w:asciiTheme="majorBidi" w:hAnsiTheme="majorBidi" w:cstheme="majorBidi"/>
        </w:rPr>
        <w:t>LailyNajafi</w:t>
      </w:r>
      <w:proofErr w:type="spellEnd"/>
      <w:r w:rsidRPr="008804B3">
        <w:rPr>
          <w:rFonts w:asciiTheme="majorBidi" w:hAnsiTheme="majorBidi" w:cstheme="majorBidi"/>
        </w:rPr>
        <w:t>, MD</w:t>
      </w:r>
      <w:r>
        <w:rPr>
          <w:rFonts w:asciiTheme="majorBidi" w:hAnsiTheme="majorBidi" w:cstheme="majorBidi"/>
          <w:vertAlign w:val="superscript"/>
        </w:rPr>
        <w:t>1</w:t>
      </w:r>
      <w:proofErr w:type="gramStart"/>
      <w:r w:rsidR="00AE0AE2" w:rsidRPr="008804B3">
        <w:rPr>
          <w:rFonts w:asciiTheme="majorBidi" w:hAnsiTheme="majorBidi" w:cstheme="majorBidi"/>
        </w:rPr>
        <w:t>,Mohammad</w:t>
      </w:r>
      <w:proofErr w:type="gramEnd"/>
      <w:r w:rsidR="00AE0AE2" w:rsidRPr="008804B3">
        <w:rPr>
          <w:rFonts w:asciiTheme="majorBidi" w:hAnsiTheme="majorBidi" w:cstheme="majorBidi"/>
        </w:rPr>
        <w:t xml:space="preserve"> E. Khamseh, MD</w:t>
      </w:r>
      <w:r w:rsidR="00AE0AE2" w:rsidRPr="008804B3">
        <w:rPr>
          <w:rFonts w:asciiTheme="majorBidi" w:hAnsiTheme="majorBidi" w:cstheme="majorBidi"/>
          <w:vertAlign w:val="superscript"/>
        </w:rPr>
        <w:t>1</w:t>
      </w:r>
      <w:r w:rsidR="00AE0AE2" w:rsidRPr="008804B3">
        <w:rPr>
          <w:rFonts w:asciiTheme="majorBidi" w:hAnsiTheme="majorBidi" w:cstheme="majorBidi"/>
        </w:rPr>
        <w:t>, Mojtaba Malek, MD</w:t>
      </w:r>
      <w:r w:rsidR="00AE0AE2" w:rsidRPr="008804B3">
        <w:rPr>
          <w:rFonts w:asciiTheme="majorBidi" w:hAnsiTheme="majorBidi" w:cstheme="majorBidi"/>
          <w:vertAlign w:val="superscript"/>
        </w:rPr>
        <w:t xml:space="preserve">1 </w:t>
      </w:r>
      <w:r w:rsidR="00AE0AE2" w:rsidRPr="008804B3">
        <w:rPr>
          <w:rFonts w:asciiTheme="majorBidi" w:hAnsiTheme="majorBidi" w:cstheme="majorBidi"/>
        </w:rPr>
        <w:t xml:space="preserve">, </w:t>
      </w:r>
    </w:p>
    <w:p w:rsidR="00AE0AE2" w:rsidRDefault="00AE0AE2" w:rsidP="008804B3">
      <w:pPr>
        <w:spacing w:line="480" w:lineRule="auto"/>
        <w:rPr>
          <w:rFonts w:asciiTheme="majorBidi" w:hAnsiTheme="majorBidi" w:cstheme="majorBidi"/>
        </w:rPr>
      </w:pPr>
      <w:r w:rsidRPr="008804B3">
        <w:rPr>
          <w:rFonts w:asciiTheme="majorBidi" w:hAnsiTheme="majorBidi" w:cstheme="majorBidi"/>
          <w:vertAlign w:val="superscript"/>
        </w:rPr>
        <w:t xml:space="preserve">1 </w:t>
      </w:r>
      <w:r w:rsidRPr="008804B3">
        <w:rPr>
          <w:rFonts w:asciiTheme="majorBidi" w:hAnsiTheme="majorBidi" w:cstheme="majorBidi"/>
        </w:rPr>
        <w:t xml:space="preserve">Endocrine Research Center, Institute of Endocrinology and Metabolism, </w:t>
      </w:r>
      <w:r w:rsidR="008804B3">
        <w:rPr>
          <w:rFonts w:asciiTheme="majorBidi" w:hAnsiTheme="majorBidi" w:cstheme="majorBidi"/>
        </w:rPr>
        <w:t>I</w:t>
      </w:r>
      <w:r w:rsidRPr="008804B3">
        <w:rPr>
          <w:rFonts w:asciiTheme="majorBidi" w:hAnsiTheme="majorBidi" w:cstheme="majorBidi"/>
        </w:rPr>
        <w:t xml:space="preserve">ran University of Medical </w:t>
      </w:r>
      <w:proofErr w:type="gramStart"/>
      <w:r w:rsidRPr="008804B3">
        <w:rPr>
          <w:rFonts w:asciiTheme="majorBidi" w:hAnsiTheme="majorBidi" w:cstheme="majorBidi"/>
        </w:rPr>
        <w:t xml:space="preserve">Sciences </w:t>
      </w:r>
      <w:r w:rsidR="008804B3">
        <w:rPr>
          <w:rFonts w:asciiTheme="majorBidi" w:hAnsiTheme="majorBidi" w:cstheme="majorBidi"/>
        </w:rPr>
        <w:t>,</w:t>
      </w:r>
      <w:proofErr w:type="gramEnd"/>
      <w:r w:rsidRPr="008804B3">
        <w:rPr>
          <w:rFonts w:asciiTheme="majorBidi" w:hAnsiTheme="majorBidi" w:cstheme="majorBidi"/>
        </w:rPr>
        <w:t xml:space="preserve"> Tehran, Iran.</w:t>
      </w:r>
    </w:p>
    <w:p w:rsidR="009F661A" w:rsidRPr="00E946D1" w:rsidRDefault="009F661A" w:rsidP="009F661A">
      <w:pPr>
        <w:spacing w:after="0" w:line="480" w:lineRule="auto"/>
        <w:rPr>
          <w:rFonts w:asciiTheme="majorBidi" w:hAnsiTheme="majorBidi" w:cstheme="majorBidi"/>
          <w:sz w:val="20"/>
          <w:szCs w:val="20"/>
        </w:rPr>
      </w:pPr>
      <w:r w:rsidRPr="00E946D1">
        <w:rPr>
          <w:rFonts w:asciiTheme="majorBidi" w:hAnsiTheme="majorBidi" w:cstheme="majorBidi"/>
          <w:b/>
          <w:bCs/>
          <w:sz w:val="20"/>
          <w:szCs w:val="20"/>
        </w:rPr>
        <w:t>*</w:t>
      </w:r>
      <w:proofErr w:type="spellStart"/>
      <w:r>
        <w:rPr>
          <w:rFonts w:asciiTheme="majorBidi" w:hAnsiTheme="majorBidi" w:cstheme="majorBidi"/>
          <w:b/>
          <w:bCs/>
          <w:sz w:val="20"/>
          <w:szCs w:val="20"/>
        </w:rPr>
        <w:t>Presentor</w:t>
      </w:r>
      <w:proofErr w:type="spellEnd"/>
      <w:r>
        <w:rPr>
          <w:rFonts w:asciiTheme="majorBidi" w:hAnsiTheme="majorBidi" w:cstheme="majorBidi"/>
          <w:b/>
          <w:bCs/>
          <w:sz w:val="20"/>
          <w:szCs w:val="20"/>
        </w:rPr>
        <w:t>:</w:t>
      </w:r>
      <w:r w:rsidRPr="00E946D1">
        <w:rPr>
          <w:rFonts w:asciiTheme="majorBidi" w:hAnsiTheme="majorBidi" w:cstheme="majorBidi"/>
          <w:b/>
          <w:bCs/>
          <w:sz w:val="20"/>
          <w:szCs w:val="20"/>
        </w:rPr>
        <w:t xml:space="preserve"> </w:t>
      </w:r>
      <w:r w:rsidRPr="00E946D1">
        <w:rPr>
          <w:rFonts w:asciiTheme="majorBidi" w:hAnsiTheme="majorBidi" w:cstheme="majorBidi"/>
          <w:sz w:val="20"/>
          <w:szCs w:val="20"/>
        </w:rPr>
        <w:t xml:space="preserve">Dr. </w:t>
      </w:r>
      <w:proofErr w:type="spellStart"/>
      <w:r w:rsidRPr="00E946D1">
        <w:rPr>
          <w:rFonts w:asciiTheme="majorBidi" w:hAnsiTheme="majorBidi" w:cstheme="majorBidi"/>
          <w:sz w:val="20"/>
          <w:szCs w:val="20"/>
        </w:rPr>
        <w:t>LailyNajafi</w:t>
      </w:r>
      <w:proofErr w:type="spellEnd"/>
      <w:r w:rsidRPr="00E946D1">
        <w:rPr>
          <w:rFonts w:asciiTheme="majorBidi" w:hAnsiTheme="majorBidi" w:cstheme="majorBidi"/>
          <w:sz w:val="20"/>
          <w:szCs w:val="20"/>
        </w:rPr>
        <w:t>; MD</w:t>
      </w:r>
    </w:p>
    <w:p w:rsidR="009F661A" w:rsidRPr="00E946D1" w:rsidRDefault="009F661A" w:rsidP="001C0F7F">
      <w:pPr>
        <w:spacing w:after="0" w:line="480" w:lineRule="auto"/>
        <w:jc w:val="both"/>
        <w:rPr>
          <w:rFonts w:asciiTheme="majorBidi" w:hAnsiTheme="majorBidi" w:cstheme="majorBidi"/>
          <w:sz w:val="20"/>
          <w:szCs w:val="20"/>
        </w:rPr>
      </w:pPr>
      <w:r w:rsidRPr="00E946D1">
        <w:rPr>
          <w:rFonts w:asciiTheme="majorBidi" w:hAnsiTheme="majorBidi" w:cstheme="majorBidi"/>
          <w:sz w:val="20"/>
          <w:szCs w:val="20"/>
        </w:rPr>
        <w:t>Endocrine Research Center, Institute of Endocrinology and Metabolism, Iran University of Medical Sciences (IUMS)</w:t>
      </w:r>
    </w:p>
    <w:p w:rsidR="009F661A" w:rsidRPr="00E946D1" w:rsidRDefault="009F661A" w:rsidP="009F661A">
      <w:pPr>
        <w:shd w:val="clear" w:color="auto" w:fill="FFFFFF"/>
        <w:spacing w:after="0" w:line="480" w:lineRule="auto"/>
        <w:rPr>
          <w:rFonts w:asciiTheme="majorBidi" w:hAnsiTheme="majorBidi" w:cstheme="majorBidi"/>
          <w:sz w:val="20"/>
          <w:szCs w:val="20"/>
          <w:u w:val="single"/>
        </w:rPr>
      </w:pPr>
      <w:r w:rsidRPr="00E946D1">
        <w:rPr>
          <w:rFonts w:asciiTheme="majorBidi" w:hAnsiTheme="majorBidi" w:cstheme="majorBidi"/>
          <w:sz w:val="20"/>
          <w:szCs w:val="20"/>
        </w:rPr>
        <w:t xml:space="preserve">Email addresses: </w:t>
      </w:r>
      <w:r>
        <w:rPr>
          <w:rFonts w:asciiTheme="majorBidi" w:hAnsiTheme="majorBidi" w:cstheme="majorBidi"/>
          <w:sz w:val="20"/>
          <w:szCs w:val="20"/>
        </w:rPr>
        <w:t>lailynajafi@yahoo.com</w:t>
      </w:r>
    </w:p>
    <w:p w:rsidR="009F661A" w:rsidRPr="00E946D1" w:rsidRDefault="009F661A" w:rsidP="001C0F7F">
      <w:pPr>
        <w:shd w:val="clear" w:color="auto" w:fill="FFFFFF"/>
        <w:spacing w:after="0" w:line="480" w:lineRule="auto"/>
        <w:rPr>
          <w:rFonts w:asciiTheme="majorBidi" w:hAnsiTheme="majorBidi" w:cstheme="majorBidi"/>
          <w:sz w:val="20"/>
          <w:szCs w:val="20"/>
        </w:rPr>
      </w:pPr>
      <w:r w:rsidRPr="00E946D1">
        <w:rPr>
          <w:rStyle w:val="yiv632699291yshortcuts"/>
          <w:rFonts w:asciiTheme="majorBidi" w:hAnsiTheme="majorBidi" w:cstheme="majorBidi"/>
          <w:sz w:val="20"/>
          <w:szCs w:val="20"/>
        </w:rPr>
        <w:t>Postal address: </w:t>
      </w:r>
      <w:r w:rsidR="001C0F7F">
        <w:rPr>
          <w:rStyle w:val="yiv632699291yshortcuts"/>
          <w:rFonts w:asciiTheme="majorBidi" w:hAnsiTheme="majorBidi" w:cstheme="majorBidi"/>
          <w:sz w:val="20"/>
          <w:szCs w:val="20"/>
        </w:rPr>
        <w:t>No.10, 4</w:t>
      </w:r>
      <w:r w:rsidR="001C0F7F" w:rsidRPr="001C0F7F">
        <w:rPr>
          <w:rStyle w:val="yiv632699291yshortcuts"/>
          <w:rFonts w:asciiTheme="majorBidi" w:hAnsiTheme="majorBidi" w:cstheme="majorBidi"/>
          <w:sz w:val="20"/>
          <w:szCs w:val="20"/>
          <w:vertAlign w:val="superscript"/>
        </w:rPr>
        <w:t>th</w:t>
      </w:r>
      <w:r w:rsidR="001C0F7F">
        <w:rPr>
          <w:rStyle w:val="yiv632699291yshortcuts"/>
          <w:rFonts w:asciiTheme="majorBidi" w:hAnsiTheme="majorBidi" w:cstheme="majorBidi"/>
          <w:sz w:val="20"/>
          <w:szCs w:val="20"/>
        </w:rPr>
        <w:t xml:space="preserve"> floor, </w:t>
      </w:r>
      <w:proofErr w:type="spellStart"/>
      <w:r w:rsidRPr="00E946D1">
        <w:rPr>
          <w:rStyle w:val="yiv632699291yshortcuts"/>
          <w:rFonts w:asciiTheme="majorBidi" w:hAnsiTheme="majorBidi" w:cstheme="majorBidi"/>
          <w:sz w:val="20"/>
          <w:szCs w:val="20"/>
        </w:rPr>
        <w:t>Firouz</w:t>
      </w:r>
      <w:r w:rsidR="001C0F7F">
        <w:rPr>
          <w:rStyle w:val="yiv632699291yshortcuts"/>
          <w:rFonts w:asciiTheme="majorBidi" w:hAnsiTheme="majorBidi" w:cstheme="majorBidi"/>
          <w:sz w:val="20"/>
          <w:szCs w:val="20"/>
        </w:rPr>
        <w:t>eh</w:t>
      </w:r>
      <w:proofErr w:type="spellEnd"/>
      <w:r w:rsidRPr="00E946D1">
        <w:rPr>
          <w:rStyle w:val="yiv632699291yshortcuts"/>
          <w:rFonts w:asciiTheme="majorBidi" w:hAnsiTheme="majorBidi" w:cstheme="majorBidi"/>
          <w:sz w:val="20"/>
          <w:szCs w:val="20"/>
        </w:rPr>
        <w:t xml:space="preserve"> alley, </w:t>
      </w:r>
      <w:proofErr w:type="spellStart"/>
      <w:r w:rsidRPr="00E946D1">
        <w:rPr>
          <w:rStyle w:val="yiv632699291yshortcuts"/>
          <w:rFonts w:asciiTheme="majorBidi" w:hAnsiTheme="majorBidi" w:cstheme="majorBidi"/>
          <w:sz w:val="20"/>
          <w:szCs w:val="20"/>
        </w:rPr>
        <w:t>Vali</w:t>
      </w:r>
      <w:proofErr w:type="spellEnd"/>
      <w:r w:rsidRPr="00E946D1">
        <w:rPr>
          <w:rStyle w:val="yiv632699291yshortcuts"/>
          <w:rFonts w:asciiTheme="majorBidi" w:hAnsiTheme="majorBidi" w:cstheme="majorBidi"/>
          <w:sz w:val="20"/>
          <w:szCs w:val="20"/>
        </w:rPr>
        <w:t xml:space="preserve">- </w:t>
      </w:r>
      <w:proofErr w:type="spellStart"/>
      <w:proofErr w:type="gramStart"/>
      <w:r w:rsidRPr="00E946D1">
        <w:rPr>
          <w:rStyle w:val="yiv632699291yshortcuts"/>
          <w:rFonts w:asciiTheme="majorBidi" w:hAnsiTheme="majorBidi" w:cstheme="majorBidi"/>
          <w:sz w:val="20"/>
          <w:szCs w:val="20"/>
        </w:rPr>
        <w:t>Asr</w:t>
      </w:r>
      <w:proofErr w:type="spellEnd"/>
      <w:proofErr w:type="gramEnd"/>
      <w:r w:rsidRPr="00E946D1">
        <w:rPr>
          <w:rStyle w:val="yiv632699291yshortcuts"/>
          <w:rFonts w:asciiTheme="majorBidi" w:hAnsiTheme="majorBidi" w:cstheme="majorBidi"/>
          <w:sz w:val="20"/>
          <w:szCs w:val="20"/>
        </w:rPr>
        <w:t xml:space="preserve"> Sq., Tehran,</w:t>
      </w:r>
      <w:r w:rsidRPr="00E946D1">
        <w:rPr>
          <w:rFonts w:asciiTheme="majorBidi" w:hAnsiTheme="majorBidi" w:cstheme="majorBidi"/>
          <w:sz w:val="20"/>
          <w:szCs w:val="20"/>
        </w:rPr>
        <w:t> </w:t>
      </w:r>
      <w:r w:rsidRPr="00E946D1">
        <w:rPr>
          <w:rStyle w:val="yiv632699291yshortcuts"/>
          <w:rFonts w:asciiTheme="majorBidi" w:hAnsiTheme="majorBidi" w:cstheme="majorBidi"/>
          <w:sz w:val="20"/>
          <w:szCs w:val="20"/>
        </w:rPr>
        <w:t>Iran</w:t>
      </w:r>
      <w:r w:rsidRPr="00E946D1">
        <w:rPr>
          <w:rFonts w:asciiTheme="majorBidi" w:hAnsiTheme="majorBidi" w:cstheme="majorBidi"/>
          <w:sz w:val="20"/>
          <w:szCs w:val="20"/>
        </w:rPr>
        <w:t xml:space="preserve">. </w:t>
      </w:r>
      <w:bookmarkStart w:id="0" w:name="_GoBack"/>
      <w:bookmarkEnd w:id="0"/>
    </w:p>
    <w:p w:rsidR="009F661A" w:rsidRPr="00E946D1" w:rsidRDefault="009F661A" w:rsidP="009F661A">
      <w:pPr>
        <w:spacing w:after="0" w:line="480" w:lineRule="auto"/>
        <w:rPr>
          <w:rFonts w:asciiTheme="majorBidi" w:hAnsiTheme="majorBidi" w:cstheme="majorBidi"/>
          <w:sz w:val="20"/>
          <w:szCs w:val="20"/>
        </w:rPr>
      </w:pPr>
    </w:p>
    <w:p w:rsidR="009F661A" w:rsidRPr="008804B3" w:rsidRDefault="009F661A" w:rsidP="008804B3">
      <w:pPr>
        <w:spacing w:line="480" w:lineRule="auto"/>
        <w:rPr>
          <w:rFonts w:asciiTheme="majorBidi" w:hAnsiTheme="majorBidi" w:cstheme="majorBidi"/>
        </w:rPr>
      </w:pPr>
    </w:p>
    <w:p w:rsidR="00AE0AE2" w:rsidRPr="008804B3" w:rsidRDefault="00AE0AE2" w:rsidP="00AE0AE2">
      <w:pPr>
        <w:spacing w:after="240" w:line="480" w:lineRule="auto"/>
        <w:jc w:val="both"/>
        <w:rPr>
          <w:rFonts w:asciiTheme="majorBidi" w:hAnsiTheme="majorBidi" w:cstheme="majorBidi"/>
          <w:b/>
          <w:bCs/>
        </w:rPr>
      </w:pPr>
      <w:r w:rsidRPr="008804B3">
        <w:rPr>
          <w:rFonts w:asciiTheme="majorBidi" w:hAnsiTheme="majorBidi" w:cstheme="majorBidi"/>
          <w:b/>
          <w:bCs/>
        </w:rPr>
        <w:t>Abstract</w:t>
      </w:r>
    </w:p>
    <w:p w:rsidR="00AE0AE2" w:rsidRPr="008804B3" w:rsidRDefault="00AE0AE2" w:rsidP="00AE0AE2">
      <w:pPr>
        <w:spacing w:line="480" w:lineRule="auto"/>
        <w:jc w:val="both"/>
        <w:rPr>
          <w:rFonts w:asciiTheme="majorBidi" w:hAnsiTheme="majorBidi" w:cstheme="majorBidi"/>
          <w:sz w:val="24"/>
          <w:szCs w:val="24"/>
          <w:rtl/>
        </w:rPr>
      </w:pPr>
      <w:r w:rsidRPr="008804B3">
        <w:rPr>
          <w:rFonts w:asciiTheme="majorBidi" w:hAnsiTheme="majorBidi" w:cstheme="majorBidi"/>
          <w:b/>
          <w:bCs/>
        </w:rPr>
        <w:t>Objective:</w:t>
      </w:r>
      <w:r w:rsidR="008804B3">
        <w:rPr>
          <w:rFonts w:asciiTheme="majorBidi" w:hAnsiTheme="majorBidi" w:cstheme="majorBidi"/>
          <w:b/>
          <w:bCs/>
        </w:rPr>
        <w:t xml:space="preserve"> </w:t>
      </w:r>
      <w:r w:rsidRPr="008804B3">
        <w:rPr>
          <w:rFonts w:asciiTheme="majorBidi" w:hAnsiTheme="majorBidi" w:cstheme="majorBidi"/>
          <w:sz w:val="24"/>
          <w:szCs w:val="24"/>
        </w:rPr>
        <w:t>Subclinical hypothyroidism has been reported to be associated with disturbed cognitive function. In this study, changes of subtests of Wechsler Memory Scale and memory quotient were investigated in subjects with subclinical hypothyroidism following treatment with levothyroxine.</w:t>
      </w:r>
    </w:p>
    <w:p w:rsidR="00AE0AE2" w:rsidRPr="008804B3" w:rsidRDefault="00AE0AE2" w:rsidP="00AE0AE2">
      <w:pPr>
        <w:autoSpaceDE w:val="0"/>
        <w:autoSpaceDN w:val="0"/>
        <w:adjustRightInd w:val="0"/>
        <w:spacing w:line="480" w:lineRule="auto"/>
        <w:jc w:val="both"/>
        <w:rPr>
          <w:rFonts w:asciiTheme="majorBidi" w:hAnsiTheme="majorBidi" w:cstheme="majorBidi"/>
        </w:rPr>
      </w:pPr>
      <w:r w:rsidRPr="008804B3">
        <w:rPr>
          <w:rFonts w:asciiTheme="majorBidi" w:hAnsiTheme="majorBidi" w:cstheme="majorBidi"/>
          <w:b/>
          <w:bCs/>
        </w:rPr>
        <w:t>Design</w:t>
      </w:r>
      <w:r w:rsidRPr="008804B3">
        <w:rPr>
          <w:rFonts w:asciiTheme="majorBidi" w:hAnsiTheme="majorBidi" w:cstheme="majorBidi"/>
        </w:rPr>
        <w:t xml:space="preserve">: </w:t>
      </w:r>
      <w:r w:rsidRPr="008804B3">
        <w:rPr>
          <w:rFonts w:asciiTheme="majorBidi" w:hAnsiTheme="majorBidi" w:cstheme="majorBidi"/>
          <w:sz w:val="24"/>
          <w:szCs w:val="24"/>
        </w:rPr>
        <w:t>A randomized double blind placebo controlled clinical trial.</w:t>
      </w:r>
    </w:p>
    <w:p w:rsidR="00AE0AE2" w:rsidRPr="008804B3" w:rsidRDefault="00AE0AE2" w:rsidP="00AE0AE2">
      <w:pPr>
        <w:autoSpaceDE w:val="0"/>
        <w:autoSpaceDN w:val="0"/>
        <w:adjustRightInd w:val="0"/>
        <w:spacing w:line="480" w:lineRule="auto"/>
        <w:jc w:val="both"/>
        <w:rPr>
          <w:rFonts w:asciiTheme="majorBidi" w:hAnsiTheme="majorBidi" w:cstheme="majorBidi"/>
        </w:rPr>
      </w:pPr>
      <w:r w:rsidRPr="008804B3">
        <w:rPr>
          <w:rFonts w:asciiTheme="majorBidi" w:hAnsiTheme="majorBidi" w:cstheme="majorBidi"/>
          <w:b/>
          <w:bCs/>
        </w:rPr>
        <w:t>Methods:</w:t>
      </w:r>
      <w:r w:rsidR="008804B3">
        <w:rPr>
          <w:rFonts w:asciiTheme="majorBidi" w:hAnsiTheme="majorBidi" w:cstheme="majorBidi"/>
          <w:b/>
          <w:bCs/>
        </w:rPr>
        <w:t xml:space="preserve"> </w:t>
      </w:r>
      <w:r w:rsidRPr="008804B3">
        <w:rPr>
          <w:rFonts w:asciiTheme="majorBidi" w:hAnsiTheme="majorBidi" w:cstheme="majorBidi"/>
          <w:sz w:val="24"/>
          <w:szCs w:val="24"/>
        </w:rPr>
        <w:t>Sixty subjects (51 females and 9 males) with subclinical hypothyroidism were enrolled.</w:t>
      </w:r>
      <w:r w:rsidR="008804B3">
        <w:rPr>
          <w:rFonts w:asciiTheme="majorBidi" w:hAnsiTheme="majorBidi" w:cstheme="majorBidi"/>
          <w:sz w:val="24"/>
          <w:szCs w:val="24"/>
        </w:rPr>
        <w:t xml:space="preserve"> </w:t>
      </w:r>
      <w:r w:rsidRPr="008804B3">
        <w:rPr>
          <w:rFonts w:asciiTheme="majorBidi" w:hAnsiTheme="majorBidi" w:cstheme="majorBidi"/>
          <w:sz w:val="24"/>
          <w:szCs w:val="24"/>
        </w:rPr>
        <w:t>Memory quotient was evaluated at the beginning of study and three months after enrollment,</w:t>
      </w:r>
      <w:r w:rsidR="008804B3">
        <w:rPr>
          <w:rFonts w:asciiTheme="majorBidi" w:hAnsiTheme="majorBidi" w:cstheme="majorBidi"/>
          <w:sz w:val="24"/>
          <w:szCs w:val="24"/>
        </w:rPr>
        <w:t xml:space="preserve"> </w:t>
      </w:r>
      <w:r w:rsidRPr="008804B3">
        <w:rPr>
          <w:rFonts w:asciiTheme="majorBidi" w:hAnsiTheme="majorBidi" w:cstheme="majorBidi"/>
          <w:sz w:val="24"/>
          <w:szCs w:val="24"/>
        </w:rPr>
        <w:t>using Wechsler’s memory test.</w:t>
      </w:r>
      <w:r w:rsidR="008804B3">
        <w:rPr>
          <w:rFonts w:asciiTheme="majorBidi" w:hAnsiTheme="majorBidi" w:cstheme="majorBidi"/>
          <w:sz w:val="24"/>
          <w:szCs w:val="24"/>
        </w:rPr>
        <w:t xml:space="preserve"> </w:t>
      </w:r>
      <w:r w:rsidRPr="008804B3">
        <w:rPr>
          <w:rFonts w:asciiTheme="majorBidi" w:hAnsiTheme="majorBidi" w:cstheme="majorBidi"/>
          <w:sz w:val="24"/>
          <w:szCs w:val="24"/>
        </w:rPr>
        <w:t>Subclinical hypothyroidism was defined as serum TSH level between</w:t>
      </w:r>
      <w:r w:rsidRPr="008804B3">
        <w:rPr>
          <w:rFonts w:asciiTheme="majorBidi" w:hAnsiTheme="majorBidi" w:cstheme="majorBidi"/>
          <w:b/>
          <w:bCs/>
          <w:sz w:val="24"/>
          <w:szCs w:val="24"/>
        </w:rPr>
        <w:t xml:space="preserve"> </w:t>
      </w:r>
      <w:r w:rsidRPr="008804B3">
        <w:rPr>
          <w:rFonts w:asciiTheme="majorBidi" w:hAnsiTheme="majorBidi" w:cstheme="majorBidi"/>
          <w:b/>
          <w:bCs/>
          <w:sz w:val="24"/>
          <w:szCs w:val="24"/>
          <w:u w:val="single"/>
        </w:rPr>
        <w:t>4.5</w:t>
      </w:r>
      <w:r w:rsidRPr="008804B3">
        <w:rPr>
          <w:rFonts w:asciiTheme="majorBidi" w:hAnsiTheme="majorBidi" w:cstheme="majorBidi"/>
          <w:sz w:val="24"/>
          <w:szCs w:val="24"/>
        </w:rPr>
        <w:t xml:space="preserve"> </w:t>
      </w:r>
      <w:proofErr w:type="spellStart"/>
      <w:r w:rsidRPr="008804B3">
        <w:rPr>
          <w:rFonts w:asciiTheme="majorBidi" w:hAnsiTheme="majorBidi" w:cstheme="majorBidi"/>
          <w:sz w:val="24"/>
          <w:szCs w:val="24"/>
        </w:rPr>
        <w:t>mU</w:t>
      </w:r>
      <w:proofErr w:type="spellEnd"/>
      <w:r w:rsidRPr="008804B3">
        <w:rPr>
          <w:rFonts w:asciiTheme="majorBidi" w:hAnsiTheme="majorBidi" w:cstheme="majorBidi"/>
          <w:sz w:val="24"/>
          <w:szCs w:val="24"/>
        </w:rPr>
        <w:t>/</w:t>
      </w:r>
      <w:proofErr w:type="spellStart"/>
      <w:r w:rsidRPr="008804B3">
        <w:rPr>
          <w:rFonts w:asciiTheme="majorBidi" w:hAnsiTheme="majorBidi" w:cstheme="majorBidi"/>
          <w:sz w:val="24"/>
          <w:szCs w:val="24"/>
        </w:rPr>
        <w:t>Lto</w:t>
      </w:r>
      <w:proofErr w:type="spellEnd"/>
      <w:r w:rsidRPr="008804B3">
        <w:rPr>
          <w:rFonts w:asciiTheme="majorBidi" w:hAnsiTheme="majorBidi" w:cstheme="majorBidi"/>
          <w:sz w:val="24"/>
          <w:szCs w:val="24"/>
        </w:rPr>
        <w:t xml:space="preserve"> </w:t>
      </w:r>
      <w:proofErr w:type="gramStart"/>
      <w:r w:rsidRPr="008804B3">
        <w:rPr>
          <w:rFonts w:asciiTheme="majorBidi" w:hAnsiTheme="majorBidi" w:cstheme="majorBidi"/>
          <w:sz w:val="24"/>
          <w:szCs w:val="24"/>
        </w:rPr>
        <w:t xml:space="preserve">10 </w:t>
      </w:r>
      <w:proofErr w:type="spellStart"/>
      <w:r w:rsidRPr="008804B3">
        <w:rPr>
          <w:rFonts w:asciiTheme="majorBidi" w:hAnsiTheme="majorBidi" w:cstheme="majorBidi"/>
          <w:sz w:val="24"/>
          <w:szCs w:val="24"/>
        </w:rPr>
        <w:t>mU</w:t>
      </w:r>
      <w:proofErr w:type="spellEnd"/>
      <w:r w:rsidRPr="008804B3">
        <w:rPr>
          <w:rFonts w:asciiTheme="majorBidi" w:hAnsiTheme="majorBidi" w:cstheme="majorBidi"/>
          <w:sz w:val="24"/>
          <w:szCs w:val="24"/>
        </w:rPr>
        <w:t>/L in the presence of normal free-T4 (0.8-2 ng/dl)</w:t>
      </w:r>
      <w:proofErr w:type="gramEnd"/>
      <w:r w:rsidRPr="008804B3">
        <w:rPr>
          <w:rFonts w:asciiTheme="majorBidi" w:hAnsiTheme="majorBidi" w:cstheme="majorBidi"/>
          <w:sz w:val="24"/>
          <w:szCs w:val="24"/>
        </w:rPr>
        <w:t xml:space="preserve"> and Positive Anti-TPO-Ab. The intervention and control groups received Levothyroxine and</w:t>
      </w:r>
      <w:r w:rsidR="004342E9">
        <w:rPr>
          <w:rFonts w:asciiTheme="majorBidi" w:hAnsiTheme="majorBidi" w:cstheme="majorBidi"/>
          <w:sz w:val="24"/>
          <w:szCs w:val="24"/>
        </w:rPr>
        <w:t xml:space="preserve"> </w:t>
      </w:r>
      <w:r w:rsidRPr="008804B3">
        <w:rPr>
          <w:rFonts w:asciiTheme="majorBidi" w:hAnsiTheme="majorBidi" w:cstheme="majorBidi"/>
          <w:sz w:val="24"/>
          <w:szCs w:val="24"/>
        </w:rPr>
        <w:t>placebo respectively for three months. Re-evaluation was done by Wechsler Memory Scale at the end of the study.</w:t>
      </w:r>
    </w:p>
    <w:p w:rsidR="00AE0AE2" w:rsidRPr="008804B3" w:rsidRDefault="00AE0AE2" w:rsidP="00AE0AE2">
      <w:pPr>
        <w:autoSpaceDE w:val="0"/>
        <w:autoSpaceDN w:val="0"/>
        <w:adjustRightInd w:val="0"/>
        <w:spacing w:line="480" w:lineRule="auto"/>
        <w:jc w:val="both"/>
        <w:rPr>
          <w:rFonts w:asciiTheme="majorBidi" w:hAnsiTheme="majorBidi" w:cstheme="majorBidi"/>
          <w:sz w:val="24"/>
          <w:szCs w:val="24"/>
        </w:rPr>
      </w:pPr>
      <w:r w:rsidRPr="008804B3">
        <w:rPr>
          <w:rFonts w:asciiTheme="majorBidi" w:hAnsiTheme="majorBidi" w:cstheme="majorBidi"/>
          <w:b/>
          <w:bCs/>
        </w:rPr>
        <w:lastRenderedPageBreak/>
        <w:t>Results:</w:t>
      </w:r>
      <w:r w:rsidR="004342E9">
        <w:rPr>
          <w:rFonts w:asciiTheme="majorBidi" w:hAnsiTheme="majorBidi" w:cstheme="majorBidi"/>
          <w:b/>
          <w:bCs/>
        </w:rPr>
        <w:t xml:space="preserve"> </w:t>
      </w:r>
      <w:r w:rsidRPr="008804B3">
        <w:rPr>
          <w:rFonts w:asciiTheme="majorBidi" w:hAnsiTheme="majorBidi" w:cstheme="majorBidi"/>
          <w:sz w:val="24"/>
          <w:szCs w:val="24"/>
        </w:rPr>
        <w:t>The mean age was 34 (</w:t>
      </w:r>
      <w:r w:rsidRPr="008804B3">
        <w:rPr>
          <w:rFonts w:asciiTheme="majorBidi" w:hAnsiTheme="majorBidi" w:cstheme="majorBidi"/>
          <w:sz w:val="24"/>
          <w:szCs w:val="24"/>
          <w:rtl/>
        </w:rPr>
        <w:t>±</w:t>
      </w:r>
      <w:r w:rsidRPr="008804B3">
        <w:rPr>
          <w:rFonts w:asciiTheme="majorBidi" w:hAnsiTheme="majorBidi" w:cstheme="majorBidi"/>
          <w:sz w:val="24"/>
          <w:szCs w:val="24"/>
        </w:rPr>
        <w:t>10), mean TSH level was 8.25(</w:t>
      </w:r>
      <w:r w:rsidRPr="008804B3">
        <w:rPr>
          <w:rFonts w:asciiTheme="majorBidi" w:hAnsiTheme="majorBidi" w:cstheme="majorBidi"/>
          <w:sz w:val="24"/>
          <w:szCs w:val="24"/>
          <w:rtl/>
        </w:rPr>
        <w:t>±</w:t>
      </w:r>
      <w:r w:rsidRPr="008804B3">
        <w:rPr>
          <w:rFonts w:asciiTheme="majorBidi" w:hAnsiTheme="majorBidi" w:cstheme="majorBidi"/>
          <w:sz w:val="24"/>
          <w:szCs w:val="24"/>
        </w:rPr>
        <w:t xml:space="preserve">3.64) </w:t>
      </w:r>
      <w:proofErr w:type="spellStart"/>
      <w:r w:rsidRPr="008804B3">
        <w:rPr>
          <w:rFonts w:asciiTheme="majorBidi" w:hAnsiTheme="majorBidi" w:cstheme="majorBidi"/>
          <w:sz w:val="24"/>
          <w:szCs w:val="24"/>
        </w:rPr>
        <w:t>muIU</w:t>
      </w:r>
      <w:proofErr w:type="spellEnd"/>
      <w:r w:rsidRPr="008804B3">
        <w:rPr>
          <w:rFonts w:asciiTheme="majorBidi" w:hAnsiTheme="majorBidi" w:cstheme="majorBidi"/>
          <w:sz w:val="24"/>
          <w:szCs w:val="24"/>
        </w:rPr>
        <w:t>/L. Memory quotient was similar in both groups at the beginning of the study: 105.70</w:t>
      </w:r>
      <w:r w:rsidRPr="008804B3">
        <w:rPr>
          <w:rFonts w:asciiTheme="majorBidi" w:hAnsiTheme="majorBidi" w:cstheme="majorBidi"/>
          <w:sz w:val="24"/>
          <w:szCs w:val="24"/>
          <w:rtl/>
        </w:rPr>
        <w:t>±</w:t>
      </w:r>
      <w:r w:rsidRPr="008804B3">
        <w:rPr>
          <w:rFonts w:asciiTheme="majorBidi" w:hAnsiTheme="majorBidi" w:cstheme="majorBidi"/>
          <w:sz w:val="24"/>
          <w:szCs w:val="24"/>
        </w:rPr>
        <w:t>2.1,in intervention group vs 105.87</w:t>
      </w:r>
      <w:r w:rsidRPr="008804B3">
        <w:rPr>
          <w:rFonts w:asciiTheme="majorBidi" w:hAnsiTheme="majorBidi" w:cstheme="majorBidi"/>
          <w:sz w:val="24"/>
          <w:szCs w:val="24"/>
          <w:rtl/>
        </w:rPr>
        <w:t>±</w:t>
      </w:r>
      <w:r w:rsidRPr="008804B3">
        <w:rPr>
          <w:rFonts w:asciiTheme="majorBidi" w:hAnsiTheme="majorBidi" w:cstheme="majorBidi"/>
          <w:sz w:val="24"/>
          <w:szCs w:val="24"/>
        </w:rPr>
        <w:t>2.1, in control group(P=0.89).At the end of the study, the memory quotient raised by 9.3 points in the intervention group and by 3.23 in the controls (P=0.002).Analysis of the scores of</w:t>
      </w:r>
      <w:r w:rsidR="004342E9">
        <w:rPr>
          <w:rFonts w:asciiTheme="majorBidi" w:hAnsiTheme="majorBidi" w:cstheme="majorBidi"/>
          <w:sz w:val="24"/>
          <w:szCs w:val="24"/>
        </w:rPr>
        <w:t xml:space="preserve"> </w:t>
      </w:r>
      <w:r w:rsidRPr="008804B3">
        <w:rPr>
          <w:rFonts w:asciiTheme="majorBidi" w:hAnsiTheme="majorBidi" w:cstheme="majorBidi"/>
          <w:sz w:val="24"/>
          <w:szCs w:val="24"/>
        </w:rPr>
        <w:t>Wechsler Memory subtests in the intervention group indicated significant improvement of mental control (p-value: 0.002), logical memory (p-value: 0.000), associate learning (p-value: 0.014), age corrected score(p-value: 0.002), and memory quotient (p-value: 0.000).</w:t>
      </w:r>
    </w:p>
    <w:p w:rsidR="00AE0AE2" w:rsidRPr="008804B3" w:rsidRDefault="00AE0AE2" w:rsidP="00AE0AE2">
      <w:pPr>
        <w:autoSpaceDE w:val="0"/>
        <w:autoSpaceDN w:val="0"/>
        <w:adjustRightInd w:val="0"/>
        <w:spacing w:line="480" w:lineRule="auto"/>
        <w:jc w:val="both"/>
        <w:rPr>
          <w:rFonts w:asciiTheme="majorBidi" w:hAnsiTheme="majorBidi" w:cstheme="majorBidi"/>
          <w:sz w:val="24"/>
          <w:szCs w:val="24"/>
        </w:rPr>
      </w:pPr>
      <w:r w:rsidRPr="008804B3">
        <w:rPr>
          <w:rFonts w:asciiTheme="majorBidi" w:hAnsiTheme="majorBidi" w:cstheme="majorBidi"/>
          <w:b/>
          <w:bCs/>
        </w:rPr>
        <w:t>Conclusions:</w:t>
      </w:r>
      <w:r w:rsidR="004342E9">
        <w:rPr>
          <w:rFonts w:asciiTheme="majorBidi" w:hAnsiTheme="majorBidi" w:cstheme="majorBidi"/>
          <w:b/>
          <w:bCs/>
        </w:rPr>
        <w:t xml:space="preserve"> </w:t>
      </w:r>
      <w:r w:rsidRPr="008804B3">
        <w:rPr>
          <w:rFonts w:asciiTheme="majorBidi" w:hAnsiTheme="majorBidi" w:cstheme="majorBidi"/>
          <w:sz w:val="24"/>
          <w:szCs w:val="24"/>
        </w:rPr>
        <w:t>This study showed the efficacy of levothyroxine on cognitive function of subjects with subclinical hypothyroidism.</w:t>
      </w:r>
    </w:p>
    <w:p w:rsidR="00AE0AE2" w:rsidRPr="008804B3" w:rsidRDefault="00AE0AE2" w:rsidP="00AE0AE2">
      <w:pPr>
        <w:autoSpaceDE w:val="0"/>
        <w:autoSpaceDN w:val="0"/>
        <w:adjustRightInd w:val="0"/>
        <w:spacing w:line="480" w:lineRule="auto"/>
        <w:jc w:val="both"/>
        <w:rPr>
          <w:rFonts w:asciiTheme="majorBidi" w:eastAsia="Calibri" w:hAnsiTheme="majorBidi" w:cstheme="majorBidi"/>
          <w:lang w:bidi="fa-IR"/>
        </w:rPr>
      </w:pPr>
      <w:r w:rsidRPr="008804B3">
        <w:rPr>
          <w:rFonts w:asciiTheme="majorBidi" w:hAnsiTheme="majorBidi" w:cstheme="majorBidi"/>
          <w:b/>
          <w:bCs/>
          <w:lang w:bidi="fa-IR"/>
        </w:rPr>
        <w:t>Keywords</w:t>
      </w:r>
      <w:r w:rsidRPr="008804B3">
        <w:rPr>
          <w:rFonts w:asciiTheme="majorBidi" w:hAnsiTheme="majorBidi" w:cstheme="majorBidi"/>
          <w:sz w:val="24"/>
          <w:szCs w:val="24"/>
        </w:rPr>
        <w:t>: Memory Quotient, Subclinical Hypothyroidism, Wechsler Memory Test</w:t>
      </w:r>
      <w:r w:rsidRPr="008804B3">
        <w:rPr>
          <w:rFonts w:asciiTheme="majorBidi" w:eastAsia="Calibri" w:hAnsiTheme="majorBidi" w:cstheme="majorBidi"/>
          <w:lang w:bidi="fa-IR"/>
        </w:rPr>
        <w:t>, Levothyroxine</w:t>
      </w:r>
    </w:p>
    <w:sectPr w:rsidR="00AE0AE2" w:rsidRPr="008804B3" w:rsidSect="00F064F5">
      <w:footerReference w:type="default" r:id="rId8"/>
      <w:pgSz w:w="12240" w:h="15840"/>
      <w:pgMar w:top="810"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81C" w:rsidRDefault="001A24F0">
      <w:pPr>
        <w:spacing w:after="0" w:line="240" w:lineRule="auto"/>
      </w:pPr>
      <w:r>
        <w:separator/>
      </w:r>
    </w:p>
  </w:endnote>
  <w:endnote w:type="continuationSeparator" w:id="0">
    <w:p w:rsidR="00B1381C" w:rsidRDefault="001A2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Yagut">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35074"/>
      <w:docPartObj>
        <w:docPartGallery w:val="Page Numbers (Bottom of Page)"/>
        <w:docPartUnique/>
      </w:docPartObj>
    </w:sdtPr>
    <w:sdtEndPr/>
    <w:sdtContent>
      <w:p w:rsidR="00AF190C" w:rsidRDefault="00AE0AE2">
        <w:pPr>
          <w:pStyle w:val="Footer"/>
        </w:pPr>
        <w:r>
          <w:fldChar w:fldCharType="begin"/>
        </w:r>
        <w:r>
          <w:instrText xml:space="preserve"> PAGE   \* MERGEFORMAT </w:instrText>
        </w:r>
        <w:r>
          <w:fldChar w:fldCharType="separate"/>
        </w:r>
        <w:r w:rsidR="001C0F7F">
          <w:rPr>
            <w:noProof/>
          </w:rPr>
          <w:t>2</w:t>
        </w:r>
        <w:r>
          <w:rPr>
            <w:noProof/>
          </w:rPr>
          <w:fldChar w:fldCharType="end"/>
        </w:r>
      </w:p>
    </w:sdtContent>
  </w:sdt>
  <w:p w:rsidR="00AF190C" w:rsidRDefault="001C0F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81C" w:rsidRDefault="001A24F0">
      <w:pPr>
        <w:spacing w:after="0" w:line="240" w:lineRule="auto"/>
      </w:pPr>
      <w:r>
        <w:separator/>
      </w:r>
    </w:p>
  </w:footnote>
  <w:footnote w:type="continuationSeparator" w:id="0">
    <w:p w:rsidR="00B1381C" w:rsidRDefault="001A24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B74A6"/>
    <w:multiLevelType w:val="hybridMultilevel"/>
    <w:tmpl w:val="C2E088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A1584E"/>
    <w:multiLevelType w:val="hybridMultilevel"/>
    <w:tmpl w:val="6D224F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B22158"/>
    <w:multiLevelType w:val="hybridMultilevel"/>
    <w:tmpl w:val="4C2CC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E61E46"/>
    <w:multiLevelType w:val="hybridMultilevel"/>
    <w:tmpl w:val="49BE839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4B30713"/>
    <w:multiLevelType w:val="hybridMultilevel"/>
    <w:tmpl w:val="9EC8FBA2"/>
    <w:lvl w:ilvl="0" w:tplc="A4F246D4">
      <w:start w:val="1"/>
      <w:numFmt w:val="decimal"/>
      <w:lvlText w:val="%1."/>
      <w:lvlJc w:val="left"/>
      <w:pPr>
        <w:ind w:left="360" w:hanging="360"/>
      </w:pPr>
      <w:rPr>
        <w:rFonts w:ascii="Times New Roman" w:hAnsi="Times New Roman" w:cs="Times New Roman" w:hint="default"/>
        <w:sz w:val="24"/>
        <w:szCs w:val="18"/>
      </w:rPr>
    </w:lvl>
    <w:lvl w:ilvl="1" w:tplc="04090019">
      <w:start w:val="1"/>
      <w:numFmt w:val="decimal"/>
      <w:lvlText w:val="%2."/>
      <w:lvlJc w:val="left"/>
      <w:pPr>
        <w:tabs>
          <w:tab w:val="num" w:pos="1300"/>
        </w:tabs>
        <w:ind w:left="1300" w:hanging="360"/>
      </w:pPr>
    </w:lvl>
    <w:lvl w:ilvl="2" w:tplc="0409001B">
      <w:start w:val="1"/>
      <w:numFmt w:val="decimal"/>
      <w:lvlText w:val="%3."/>
      <w:lvlJc w:val="left"/>
      <w:pPr>
        <w:tabs>
          <w:tab w:val="num" w:pos="2020"/>
        </w:tabs>
        <w:ind w:left="2020" w:hanging="360"/>
      </w:pPr>
    </w:lvl>
    <w:lvl w:ilvl="3" w:tplc="0409000F">
      <w:start w:val="1"/>
      <w:numFmt w:val="decimal"/>
      <w:lvlText w:val="%4."/>
      <w:lvlJc w:val="left"/>
      <w:pPr>
        <w:tabs>
          <w:tab w:val="num" w:pos="2740"/>
        </w:tabs>
        <w:ind w:left="2740" w:hanging="360"/>
      </w:pPr>
    </w:lvl>
    <w:lvl w:ilvl="4" w:tplc="04090019">
      <w:start w:val="1"/>
      <w:numFmt w:val="decimal"/>
      <w:lvlText w:val="%5."/>
      <w:lvlJc w:val="left"/>
      <w:pPr>
        <w:tabs>
          <w:tab w:val="num" w:pos="3460"/>
        </w:tabs>
        <w:ind w:left="3460" w:hanging="360"/>
      </w:pPr>
    </w:lvl>
    <w:lvl w:ilvl="5" w:tplc="0409001B">
      <w:start w:val="1"/>
      <w:numFmt w:val="decimal"/>
      <w:lvlText w:val="%6."/>
      <w:lvlJc w:val="left"/>
      <w:pPr>
        <w:tabs>
          <w:tab w:val="num" w:pos="4180"/>
        </w:tabs>
        <w:ind w:left="4180" w:hanging="360"/>
      </w:pPr>
    </w:lvl>
    <w:lvl w:ilvl="6" w:tplc="0409000F">
      <w:start w:val="1"/>
      <w:numFmt w:val="decimal"/>
      <w:lvlText w:val="%7."/>
      <w:lvlJc w:val="left"/>
      <w:pPr>
        <w:tabs>
          <w:tab w:val="num" w:pos="4900"/>
        </w:tabs>
        <w:ind w:left="4900" w:hanging="360"/>
      </w:pPr>
    </w:lvl>
    <w:lvl w:ilvl="7" w:tplc="04090019">
      <w:start w:val="1"/>
      <w:numFmt w:val="decimal"/>
      <w:lvlText w:val="%8."/>
      <w:lvlJc w:val="left"/>
      <w:pPr>
        <w:tabs>
          <w:tab w:val="num" w:pos="5620"/>
        </w:tabs>
        <w:ind w:left="5620" w:hanging="360"/>
      </w:pPr>
    </w:lvl>
    <w:lvl w:ilvl="8" w:tplc="0409001B">
      <w:start w:val="1"/>
      <w:numFmt w:val="decimal"/>
      <w:lvlText w:val="%9."/>
      <w:lvlJc w:val="left"/>
      <w:pPr>
        <w:tabs>
          <w:tab w:val="num" w:pos="6340"/>
        </w:tabs>
        <w:ind w:left="6340" w:hanging="360"/>
      </w:pPr>
    </w:lvl>
  </w:abstractNum>
  <w:abstractNum w:abstractNumId="5">
    <w:nsid w:val="3A3D77C6"/>
    <w:multiLevelType w:val="hybridMultilevel"/>
    <w:tmpl w:val="9E327E08"/>
    <w:lvl w:ilvl="0" w:tplc="B26698E8">
      <w:start w:val="1"/>
      <w:numFmt w:val="decimal"/>
      <w:lvlText w:val="%1"/>
      <w:lvlJc w:val="left"/>
      <w:pPr>
        <w:ind w:left="360" w:hanging="360"/>
      </w:pPr>
      <w:rPr>
        <w:rFonts w:hint="default"/>
        <w:sz w:val="24"/>
        <w:szCs w:val="18"/>
      </w:rPr>
    </w:lvl>
    <w:lvl w:ilvl="1" w:tplc="04090019">
      <w:start w:val="1"/>
      <w:numFmt w:val="decimal"/>
      <w:lvlText w:val="%2."/>
      <w:lvlJc w:val="left"/>
      <w:pPr>
        <w:tabs>
          <w:tab w:val="num" w:pos="1300"/>
        </w:tabs>
        <w:ind w:left="1300" w:hanging="360"/>
      </w:pPr>
    </w:lvl>
    <w:lvl w:ilvl="2" w:tplc="0409001B">
      <w:start w:val="1"/>
      <w:numFmt w:val="decimal"/>
      <w:lvlText w:val="%3."/>
      <w:lvlJc w:val="left"/>
      <w:pPr>
        <w:tabs>
          <w:tab w:val="num" w:pos="2020"/>
        </w:tabs>
        <w:ind w:left="2020" w:hanging="360"/>
      </w:pPr>
    </w:lvl>
    <w:lvl w:ilvl="3" w:tplc="0409000F">
      <w:start w:val="1"/>
      <w:numFmt w:val="decimal"/>
      <w:lvlText w:val="%4."/>
      <w:lvlJc w:val="left"/>
      <w:pPr>
        <w:tabs>
          <w:tab w:val="num" w:pos="2740"/>
        </w:tabs>
        <w:ind w:left="2740" w:hanging="360"/>
      </w:pPr>
    </w:lvl>
    <w:lvl w:ilvl="4" w:tplc="04090019">
      <w:start w:val="1"/>
      <w:numFmt w:val="decimal"/>
      <w:lvlText w:val="%5."/>
      <w:lvlJc w:val="left"/>
      <w:pPr>
        <w:tabs>
          <w:tab w:val="num" w:pos="3460"/>
        </w:tabs>
        <w:ind w:left="3460" w:hanging="360"/>
      </w:pPr>
    </w:lvl>
    <w:lvl w:ilvl="5" w:tplc="0409001B">
      <w:start w:val="1"/>
      <w:numFmt w:val="decimal"/>
      <w:lvlText w:val="%6."/>
      <w:lvlJc w:val="left"/>
      <w:pPr>
        <w:tabs>
          <w:tab w:val="num" w:pos="4180"/>
        </w:tabs>
        <w:ind w:left="4180" w:hanging="360"/>
      </w:pPr>
    </w:lvl>
    <w:lvl w:ilvl="6" w:tplc="0409000F">
      <w:start w:val="1"/>
      <w:numFmt w:val="decimal"/>
      <w:lvlText w:val="%7."/>
      <w:lvlJc w:val="left"/>
      <w:pPr>
        <w:tabs>
          <w:tab w:val="num" w:pos="4900"/>
        </w:tabs>
        <w:ind w:left="4900" w:hanging="360"/>
      </w:pPr>
    </w:lvl>
    <w:lvl w:ilvl="7" w:tplc="04090019">
      <w:start w:val="1"/>
      <w:numFmt w:val="decimal"/>
      <w:lvlText w:val="%8."/>
      <w:lvlJc w:val="left"/>
      <w:pPr>
        <w:tabs>
          <w:tab w:val="num" w:pos="5620"/>
        </w:tabs>
        <w:ind w:left="5620" w:hanging="360"/>
      </w:pPr>
    </w:lvl>
    <w:lvl w:ilvl="8" w:tplc="0409001B">
      <w:start w:val="1"/>
      <w:numFmt w:val="decimal"/>
      <w:lvlText w:val="%9."/>
      <w:lvlJc w:val="left"/>
      <w:pPr>
        <w:tabs>
          <w:tab w:val="num" w:pos="6340"/>
        </w:tabs>
        <w:ind w:left="6340" w:hanging="360"/>
      </w:pPr>
    </w:lvl>
  </w:abstractNum>
  <w:abstractNum w:abstractNumId="6">
    <w:nsid w:val="3EA50AC7"/>
    <w:multiLevelType w:val="hybridMultilevel"/>
    <w:tmpl w:val="B9B622D6"/>
    <w:lvl w:ilvl="0" w:tplc="D4C6725C">
      <w:numFmt w:val="bullet"/>
      <w:lvlText w:val=""/>
      <w:lvlJc w:val="left"/>
      <w:pPr>
        <w:ind w:left="720" w:hanging="360"/>
      </w:pPr>
      <w:rPr>
        <w:rFonts w:ascii="Symbol" w:eastAsiaTheme="minorEastAsia" w:hAnsi="Symbol" w:cs="B Yagu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4B5795"/>
    <w:multiLevelType w:val="hybridMultilevel"/>
    <w:tmpl w:val="A604615A"/>
    <w:lvl w:ilvl="0" w:tplc="992EFE70">
      <w:numFmt w:val="bullet"/>
      <w:lvlText w:val=""/>
      <w:lvlJc w:val="left"/>
      <w:pPr>
        <w:ind w:left="720" w:hanging="360"/>
      </w:pPr>
      <w:rPr>
        <w:rFonts w:ascii="Symbol" w:eastAsiaTheme="min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6"/>
  </w:num>
  <w:num w:numId="4">
    <w:abstractNumId w:val="2"/>
  </w:num>
  <w:num w:numId="5">
    <w:abstractNumId w:val="5"/>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AE2"/>
    <w:rsid w:val="001A24F0"/>
    <w:rsid w:val="001C0F7F"/>
    <w:rsid w:val="002C4522"/>
    <w:rsid w:val="004342E9"/>
    <w:rsid w:val="008804B3"/>
    <w:rsid w:val="009F661A"/>
    <w:rsid w:val="00AE0AE2"/>
    <w:rsid w:val="00B1381C"/>
    <w:rsid w:val="00F064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AE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0AE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shortcuts2">
    <w:name w:val="yshortcuts2"/>
    <w:basedOn w:val="DefaultParagraphFont"/>
    <w:rsid w:val="00AE0AE2"/>
  </w:style>
  <w:style w:type="character" w:customStyle="1" w:styleId="yshortcuts3">
    <w:name w:val="yshortcuts3"/>
    <w:basedOn w:val="DefaultParagraphFont"/>
    <w:rsid w:val="00AE0AE2"/>
  </w:style>
  <w:style w:type="character" w:customStyle="1" w:styleId="yshortcuts4">
    <w:name w:val="yshortcuts4"/>
    <w:basedOn w:val="DefaultParagraphFont"/>
    <w:rsid w:val="00AE0AE2"/>
  </w:style>
  <w:style w:type="character" w:customStyle="1" w:styleId="yiv632699291yshortcuts">
    <w:name w:val="yiv632699291yshortcuts"/>
    <w:basedOn w:val="DefaultParagraphFont"/>
    <w:rsid w:val="00AE0AE2"/>
  </w:style>
  <w:style w:type="character" w:customStyle="1" w:styleId="hps">
    <w:name w:val="hps"/>
    <w:basedOn w:val="DefaultParagraphFont"/>
    <w:rsid w:val="00AE0AE2"/>
  </w:style>
  <w:style w:type="character" w:styleId="CommentReference">
    <w:name w:val="annotation reference"/>
    <w:basedOn w:val="DefaultParagraphFont"/>
    <w:uiPriority w:val="99"/>
    <w:semiHidden/>
    <w:unhideWhenUsed/>
    <w:rsid w:val="00AE0AE2"/>
    <w:rPr>
      <w:sz w:val="16"/>
      <w:szCs w:val="16"/>
    </w:rPr>
  </w:style>
  <w:style w:type="paragraph" w:styleId="CommentText">
    <w:name w:val="annotation text"/>
    <w:basedOn w:val="Normal"/>
    <w:link w:val="CommentTextChar"/>
    <w:uiPriority w:val="99"/>
    <w:semiHidden/>
    <w:unhideWhenUsed/>
    <w:rsid w:val="00AE0AE2"/>
    <w:pPr>
      <w:spacing w:line="240" w:lineRule="auto"/>
    </w:pPr>
    <w:rPr>
      <w:sz w:val="20"/>
      <w:szCs w:val="20"/>
    </w:rPr>
  </w:style>
  <w:style w:type="character" w:customStyle="1" w:styleId="CommentTextChar">
    <w:name w:val="Comment Text Char"/>
    <w:basedOn w:val="DefaultParagraphFont"/>
    <w:link w:val="CommentText"/>
    <w:uiPriority w:val="99"/>
    <w:semiHidden/>
    <w:rsid w:val="00AE0AE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E0AE2"/>
    <w:rPr>
      <w:b/>
      <w:bCs/>
    </w:rPr>
  </w:style>
  <w:style w:type="character" w:customStyle="1" w:styleId="CommentSubjectChar">
    <w:name w:val="Comment Subject Char"/>
    <w:basedOn w:val="CommentTextChar"/>
    <w:link w:val="CommentSubject"/>
    <w:uiPriority w:val="99"/>
    <w:semiHidden/>
    <w:rsid w:val="00AE0AE2"/>
    <w:rPr>
      <w:rFonts w:eastAsiaTheme="minorEastAsia"/>
      <w:b/>
      <w:bCs/>
      <w:sz w:val="20"/>
      <w:szCs w:val="20"/>
    </w:rPr>
  </w:style>
  <w:style w:type="paragraph" w:styleId="BalloonText">
    <w:name w:val="Balloon Text"/>
    <w:basedOn w:val="Normal"/>
    <w:link w:val="BalloonTextChar"/>
    <w:uiPriority w:val="99"/>
    <w:semiHidden/>
    <w:unhideWhenUsed/>
    <w:rsid w:val="00AE0A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AE2"/>
    <w:rPr>
      <w:rFonts w:ascii="Tahoma" w:eastAsiaTheme="minorEastAsia" w:hAnsi="Tahoma" w:cs="Tahoma"/>
      <w:sz w:val="16"/>
      <w:szCs w:val="16"/>
    </w:rPr>
  </w:style>
  <w:style w:type="paragraph" w:styleId="ListParagraph">
    <w:name w:val="List Paragraph"/>
    <w:basedOn w:val="Normal"/>
    <w:uiPriority w:val="34"/>
    <w:qFormat/>
    <w:rsid w:val="00AE0AE2"/>
    <w:pPr>
      <w:ind w:left="720"/>
      <w:contextualSpacing/>
    </w:pPr>
  </w:style>
  <w:style w:type="character" w:styleId="Hyperlink">
    <w:name w:val="Hyperlink"/>
    <w:uiPriority w:val="99"/>
    <w:unhideWhenUsed/>
    <w:rsid w:val="00AE0AE2"/>
    <w:rPr>
      <w:color w:val="0000FF"/>
      <w:u w:val="single"/>
    </w:rPr>
  </w:style>
  <w:style w:type="paragraph" w:styleId="Header">
    <w:name w:val="header"/>
    <w:basedOn w:val="Normal"/>
    <w:link w:val="HeaderChar"/>
    <w:uiPriority w:val="99"/>
    <w:semiHidden/>
    <w:unhideWhenUsed/>
    <w:rsid w:val="00AE0AE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E0AE2"/>
    <w:rPr>
      <w:rFonts w:eastAsiaTheme="minorEastAsia"/>
    </w:rPr>
  </w:style>
  <w:style w:type="paragraph" w:styleId="Footer">
    <w:name w:val="footer"/>
    <w:basedOn w:val="Normal"/>
    <w:link w:val="FooterChar"/>
    <w:uiPriority w:val="99"/>
    <w:unhideWhenUsed/>
    <w:rsid w:val="00AE0A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AE2"/>
    <w:rPr>
      <w:rFonts w:eastAsiaTheme="minorEastAsia"/>
    </w:rPr>
  </w:style>
  <w:style w:type="character" w:styleId="LineNumber">
    <w:name w:val="line number"/>
    <w:basedOn w:val="DefaultParagraphFont"/>
    <w:uiPriority w:val="99"/>
    <w:semiHidden/>
    <w:unhideWhenUsed/>
    <w:rsid w:val="00AE0AE2"/>
  </w:style>
  <w:style w:type="table" w:customStyle="1" w:styleId="TableGrid1">
    <w:name w:val="Table Grid1"/>
    <w:basedOn w:val="TableNormal"/>
    <w:next w:val="TableGrid"/>
    <w:uiPriority w:val="59"/>
    <w:rsid w:val="00AE0AE2"/>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DefaultParagraphFont"/>
    <w:rsid w:val="00AE0AE2"/>
  </w:style>
  <w:style w:type="paragraph" w:styleId="NormalWeb">
    <w:name w:val="Normal (Web)"/>
    <w:basedOn w:val="Normal"/>
    <w:uiPriority w:val="99"/>
    <w:unhideWhenUsed/>
    <w:rsid w:val="00AE0A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E0AE2"/>
  </w:style>
  <w:style w:type="character" w:styleId="Strong">
    <w:name w:val="Strong"/>
    <w:basedOn w:val="DefaultParagraphFont"/>
    <w:uiPriority w:val="22"/>
    <w:qFormat/>
    <w:rsid w:val="00AE0AE2"/>
    <w:rPr>
      <w:b/>
      <w:bCs/>
    </w:rPr>
  </w:style>
  <w:style w:type="character" w:styleId="Emphasis">
    <w:name w:val="Emphasis"/>
    <w:basedOn w:val="DefaultParagraphFont"/>
    <w:uiPriority w:val="20"/>
    <w:qFormat/>
    <w:rsid w:val="00AE0AE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AE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0AE2"/>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yshortcuts2">
    <w:name w:val="yshortcuts2"/>
    <w:basedOn w:val="DefaultParagraphFont"/>
    <w:rsid w:val="00AE0AE2"/>
  </w:style>
  <w:style w:type="character" w:customStyle="1" w:styleId="yshortcuts3">
    <w:name w:val="yshortcuts3"/>
    <w:basedOn w:val="DefaultParagraphFont"/>
    <w:rsid w:val="00AE0AE2"/>
  </w:style>
  <w:style w:type="character" w:customStyle="1" w:styleId="yshortcuts4">
    <w:name w:val="yshortcuts4"/>
    <w:basedOn w:val="DefaultParagraphFont"/>
    <w:rsid w:val="00AE0AE2"/>
  </w:style>
  <w:style w:type="character" w:customStyle="1" w:styleId="yiv632699291yshortcuts">
    <w:name w:val="yiv632699291yshortcuts"/>
    <w:basedOn w:val="DefaultParagraphFont"/>
    <w:rsid w:val="00AE0AE2"/>
  </w:style>
  <w:style w:type="character" w:customStyle="1" w:styleId="hps">
    <w:name w:val="hps"/>
    <w:basedOn w:val="DefaultParagraphFont"/>
    <w:rsid w:val="00AE0AE2"/>
  </w:style>
  <w:style w:type="character" w:styleId="CommentReference">
    <w:name w:val="annotation reference"/>
    <w:basedOn w:val="DefaultParagraphFont"/>
    <w:uiPriority w:val="99"/>
    <w:semiHidden/>
    <w:unhideWhenUsed/>
    <w:rsid w:val="00AE0AE2"/>
    <w:rPr>
      <w:sz w:val="16"/>
      <w:szCs w:val="16"/>
    </w:rPr>
  </w:style>
  <w:style w:type="paragraph" w:styleId="CommentText">
    <w:name w:val="annotation text"/>
    <w:basedOn w:val="Normal"/>
    <w:link w:val="CommentTextChar"/>
    <w:uiPriority w:val="99"/>
    <w:semiHidden/>
    <w:unhideWhenUsed/>
    <w:rsid w:val="00AE0AE2"/>
    <w:pPr>
      <w:spacing w:line="240" w:lineRule="auto"/>
    </w:pPr>
    <w:rPr>
      <w:sz w:val="20"/>
      <w:szCs w:val="20"/>
    </w:rPr>
  </w:style>
  <w:style w:type="character" w:customStyle="1" w:styleId="CommentTextChar">
    <w:name w:val="Comment Text Char"/>
    <w:basedOn w:val="DefaultParagraphFont"/>
    <w:link w:val="CommentText"/>
    <w:uiPriority w:val="99"/>
    <w:semiHidden/>
    <w:rsid w:val="00AE0AE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AE0AE2"/>
    <w:rPr>
      <w:b/>
      <w:bCs/>
    </w:rPr>
  </w:style>
  <w:style w:type="character" w:customStyle="1" w:styleId="CommentSubjectChar">
    <w:name w:val="Comment Subject Char"/>
    <w:basedOn w:val="CommentTextChar"/>
    <w:link w:val="CommentSubject"/>
    <w:uiPriority w:val="99"/>
    <w:semiHidden/>
    <w:rsid w:val="00AE0AE2"/>
    <w:rPr>
      <w:rFonts w:eastAsiaTheme="minorEastAsia"/>
      <w:b/>
      <w:bCs/>
      <w:sz w:val="20"/>
      <w:szCs w:val="20"/>
    </w:rPr>
  </w:style>
  <w:style w:type="paragraph" w:styleId="BalloonText">
    <w:name w:val="Balloon Text"/>
    <w:basedOn w:val="Normal"/>
    <w:link w:val="BalloonTextChar"/>
    <w:uiPriority w:val="99"/>
    <w:semiHidden/>
    <w:unhideWhenUsed/>
    <w:rsid w:val="00AE0A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AE2"/>
    <w:rPr>
      <w:rFonts w:ascii="Tahoma" w:eastAsiaTheme="minorEastAsia" w:hAnsi="Tahoma" w:cs="Tahoma"/>
      <w:sz w:val="16"/>
      <w:szCs w:val="16"/>
    </w:rPr>
  </w:style>
  <w:style w:type="paragraph" w:styleId="ListParagraph">
    <w:name w:val="List Paragraph"/>
    <w:basedOn w:val="Normal"/>
    <w:uiPriority w:val="34"/>
    <w:qFormat/>
    <w:rsid w:val="00AE0AE2"/>
    <w:pPr>
      <w:ind w:left="720"/>
      <w:contextualSpacing/>
    </w:pPr>
  </w:style>
  <w:style w:type="character" w:styleId="Hyperlink">
    <w:name w:val="Hyperlink"/>
    <w:uiPriority w:val="99"/>
    <w:unhideWhenUsed/>
    <w:rsid w:val="00AE0AE2"/>
    <w:rPr>
      <w:color w:val="0000FF"/>
      <w:u w:val="single"/>
    </w:rPr>
  </w:style>
  <w:style w:type="paragraph" w:styleId="Header">
    <w:name w:val="header"/>
    <w:basedOn w:val="Normal"/>
    <w:link w:val="HeaderChar"/>
    <w:uiPriority w:val="99"/>
    <w:semiHidden/>
    <w:unhideWhenUsed/>
    <w:rsid w:val="00AE0AE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E0AE2"/>
    <w:rPr>
      <w:rFonts w:eastAsiaTheme="minorEastAsia"/>
    </w:rPr>
  </w:style>
  <w:style w:type="paragraph" w:styleId="Footer">
    <w:name w:val="footer"/>
    <w:basedOn w:val="Normal"/>
    <w:link w:val="FooterChar"/>
    <w:uiPriority w:val="99"/>
    <w:unhideWhenUsed/>
    <w:rsid w:val="00AE0A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0AE2"/>
    <w:rPr>
      <w:rFonts w:eastAsiaTheme="minorEastAsia"/>
    </w:rPr>
  </w:style>
  <w:style w:type="character" w:styleId="LineNumber">
    <w:name w:val="line number"/>
    <w:basedOn w:val="DefaultParagraphFont"/>
    <w:uiPriority w:val="99"/>
    <w:semiHidden/>
    <w:unhideWhenUsed/>
    <w:rsid w:val="00AE0AE2"/>
  </w:style>
  <w:style w:type="table" w:customStyle="1" w:styleId="TableGrid1">
    <w:name w:val="Table Grid1"/>
    <w:basedOn w:val="TableNormal"/>
    <w:next w:val="TableGrid"/>
    <w:uiPriority w:val="59"/>
    <w:rsid w:val="00AE0AE2"/>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style-span">
    <w:name w:val="apple-style-span"/>
    <w:basedOn w:val="DefaultParagraphFont"/>
    <w:rsid w:val="00AE0AE2"/>
  </w:style>
  <w:style w:type="paragraph" w:styleId="NormalWeb">
    <w:name w:val="Normal (Web)"/>
    <w:basedOn w:val="Normal"/>
    <w:uiPriority w:val="99"/>
    <w:unhideWhenUsed/>
    <w:rsid w:val="00AE0A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AE0AE2"/>
  </w:style>
  <w:style w:type="character" w:styleId="Strong">
    <w:name w:val="Strong"/>
    <w:basedOn w:val="DefaultParagraphFont"/>
    <w:uiPriority w:val="22"/>
    <w:qFormat/>
    <w:rsid w:val="00AE0AE2"/>
    <w:rPr>
      <w:b/>
      <w:bCs/>
    </w:rPr>
  </w:style>
  <w:style w:type="character" w:styleId="Emphasis">
    <w:name w:val="Emphasis"/>
    <w:basedOn w:val="DefaultParagraphFont"/>
    <w:uiPriority w:val="20"/>
    <w:qFormat/>
    <w:rsid w:val="00AE0AE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dr-najafi</dc:creator>
  <cp:lastModifiedBy>dr-najafi</cp:lastModifiedBy>
  <cp:revision>7</cp:revision>
  <dcterms:created xsi:type="dcterms:W3CDTF">2016-07-31T05:28:00Z</dcterms:created>
  <dcterms:modified xsi:type="dcterms:W3CDTF">2018-08-08T10:55:00Z</dcterms:modified>
</cp:coreProperties>
</file>