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jc w:val="left"/>
        <w:rPr>
          <w:rFonts w:ascii="Times New Roman"/>
          <w:sz w:val="20"/>
        </w:rPr>
      </w:pPr>
    </w:p>
    <w:p>
      <w:pPr>
        <w:pStyle w:val="BodyText"/>
        <w:spacing w:before="3"/>
        <w:jc w:val="left"/>
        <w:rPr>
          <w:rFonts w:ascii="Times New Roman"/>
          <w:sz w:val="19"/>
        </w:rPr>
      </w:pPr>
    </w:p>
    <w:p>
      <w:pPr>
        <w:spacing w:before="0"/>
        <w:ind w:left="1537" w:right="0" w:firstLine="0"/>
        <w:jc w:val="left"/>
        <w:rPr>
          <w:b/>
          <w:sz w:val="17"/>
        </w:rPr>
      </w:pPr>
      <w:r>
        <w:rPr>
          <w:b/>
          <w:color w:val="080808"/>
          <w:w w:val="115"/>
          <w:sz w:val="17"/>
        </w:rPr>
        <w:t>Abstract</w:t>
      </w:r>
    </w:p>
    <w:p>
      <w:pPr>
        <w:pStyle w:val="BodyText"/>
        <w:spacing w:line="271" w:lineRule="auto" w:before="116"/>
        <w:ind w:left="1531" w:right="1404" w:hanging="2"/>
      </w:pPr>
      <w:r>
        <w:rPr>
          <w:b/>
          <w:color w:val="080808"/>
          <w:w w:val="110"/>
        </w:rPr>
        <w:t>Objective: </w:t>
      </w:r>
      <w:r>
        <w:rPr>
          <w:color w:val="2D2D2D"/>
          <w:w w:val="110"/>
        </w:rPr>
        <w:t>To report on the </w:t>
      </w:r>
      <w:r>
        <w:rPr>
          <w:color w:val="3B3B3B"/>
          <w:w w:val="110"/>
        </w:rPr>
        <w:t>prevalence </w:t>
      </w:r>
      <w:r>
        <w:rPr>
          <w:color w:val="2D2D2D"/>
          <w:w w:val="110"/>
        </w:rPr>
        <w:t>of diabetes mellitus</w:t>
      </w:r>
      <w:r>
        <w:rPr>
          <w:color w:val="2D2D2D"/>
          <w:spacing w:val="51"/>
          <w:w w:val="110"/>
        </w:rPr>
        <w:t> </w:t>
      </w:r>
      <w:r>
        <w:rPr>
          <w:color w:val="2D2D2D"/>
          <w:w w:val="110"/>
        </w:rPr>
        <w:t>secondary to necrosectomy due to septic complication of severe</w:t>
      </w:r>
      <w:r>
        <w:rPr>
          <w:color w:val="2D2D2D"/>
          <w:spacing w:val="51"/>
          <w:w w:val="110"/>
        </w:rPr>
        <w:t> </w:t>
      </w:r>
      <w:r>
        <w:rPr>
          <w:color w:val="2D2D2D"/>
          <w:w w:val="110"/>
        </w:rPr>
        <w:t>acute</w:t>
      </w:r>
      <w:r>
        <w:rPr>
          <w:color w:val="2D2D2D"/>
          <w:spacing w:val="7"/>
          <w:w w:val="110"/>
        </w:rPr>
        <w:t> </w:t>
      </w:r>
      <w:r>
        <w:rPr>
          <w:color w:val="2D2D2D"/>
          <w:w w:val="110"/>
        </w:rPr>
        <w:t>pancreatitis.</w:t>
      </w:r>
    </w:p>
    <w:p>
      <w:pPr>
        <w:spacing w:before="80"/>
        <w:ind w:left="1531" w:right="0" w:firstLine="0"/>
        <w:jc w:val="both"/>
        <w:rPr>
          <w:sz w:val="17"/>
        </w:rPr>
      </w:pPr>
      <w:r>
        <w:rPr>
          <w:b/>
          <w:color w:val="080808"/>
          <w:w w:val="115"/>
          <w:sz w:val="17"/>
        </w:rPr>
        <w:t>Setting: </w:t>
      </w:r>
      <w:r>
        <w:rPr>
          <w:color w:val="2D2D2D"/>
          <w:w w:val="115"/>
          <w:sz w:val="17"/>
        </w:rPr>
        <w:t>General Hospital of Mexico.</w:t>
      </w:r>
    </w:p>
    <w:p>
      <w:pPr>
        <w:pStyle w:val="BodyText"/>
        <w:spacing w:line="247" w:lineRule="auto" w:before="136"/>
        <w:ind w:left="1534" w:right="1413"/>
      </w:pPr>
      <w:r>
        <w:rPr>
          <w:b/>
          <w:color w:val="080808"/>
          <w:w w:val="115"/>
        </w:rPr>
        <w:t>Design: </w:t>
      </w:r>
      <w:r>
        <w:rPr>
          <w:color w:val="2D2D2D"/>
          <w:w w:val="115"/>
        </w:rPr>
        <w:t>Clinical comparative, observational, </w:t>
      </w:r>
      <w:r>
        <w:rPr>
          <w:color w:val="3B3B3B"/>
          <w:w w:val="115"/>
        </w:rPr>
        <w:t>longitudinal, </w:t>
      </w:r>
      <w:r>
        <w:rPr>
          <w:color w:val="2D2D2D"/>
          <w:w w:val="115"/>
        </w:rPr>
        <w:t>transversal, retrospective study</w:t>
      </w:r>
      <w:r>
        <w:rPr>
          <w:color w:val="080808"/>
          <w:w w:val="115"/>
        </w:rPr>
        <w:t>.</w:t>
      </w:r>
    </w:p>
    <w:p>
      <w:pPr>
        <w:spacing w:before="127"/>
        <w:ind w:left="1531" w:right="0" w:firstLine="0"/>
        <w:jc w:val="both"/>
        <w:rPr>
          <w:sz w:val="14"/>
        </w:rPr>
      </w:pPr>
      <w:r>
        <w:rPr>
          <w:b/>
          <w:color w:val="080808"/>
          <w:w w:val="115"/>
          <w:sz w:val="17"/>
        </w:rPr>
        <w:t>Statistical analysis: </w:t>
      </w:r>
      <w:r>
        <w:rPr>
          <w:color w:val="2D2D2D"/>
          <w:w w:val="115"/>
          <w:sz w:val="17"/>
        </w:rPr>
        <w:t>Central tendency measures, Chi square </w:t>
      </w:r>
      <w:r>
        <w:rPr>
          <w:color w:val="3B3B3B"/>
          <w:w w:val="115"/>
          <w:sz w:val="17"/>
        </w:rPr>
        <w:t>( x</w:t>
      </w:r>
      <w:r>
        <w:rPr>
          <w:color w:val="3B3B3B"/>
          <w:w w:val="115"/>
          <w:position w:val="6"/>
          <w:sz w:val="14"/>
        </w:rPr>
        <w:t>2</w:t>
      </w:r>
      <w:r>
        <w:rPr>
          <w:color w:val="3B3B3B"/>
          <w:w w:val="115"/>
          <w:sz w:val="14"/>
        </w:rPr>
        <w:t>)</w:t>
      </w:r>
    </w:p>
    <w:p>
      <w:pPr>
        <w:pStyle w:val="BodyText"/>
        <w:spacing w:before="16"/>
        <w:ind w:left="1531"/>
      </w:pPr>
      <w:r>
        <w:rPr>
          <w:color w:val="2D2D2D"/>
          <w:w w:val="115"/>
        </w:rPr>
        <w:t>and Student's t tests.</w:t>
      </w:r>
    </w:p>
    <w:p>
      <w:pPr>
        <w:pStyle w:val="BodyText"/>
        <w:spacing w:line="264" w:lineRule="auto" w:before="115"/>
        <w:ind w:left="1531" w:right="1405" w:firstLine="4"/>
      </w:pPr>
      <w:r>
        <w:rPr>
          <w:b/>
          <w:color w:val="080808"/>
          <w:w w:val="115"/>
        </w:rPr>
        <w:t>Material and methods: </w:t>
      </w:r>
      <w:r>
        <w:rPr>
          <w:color w:val="2D2D2D"/>
          <w:w w:val="115"/>
        </w:rPr>
        <w:t>We evaluated all consecutive patients with a</w:t>
      </w:r>
      <w:r>
        <w:rPr>
          <w:color w:val="2D2D2D"/>
          <w:spacing w:val="-22"/>
          <w:w w:val="115"/>
        </w:rPr>
        <w:t> </w:t>
      </w:r>
      <w:r>
        <w:rPr>
          <w:color w:val="2D2D2D"/>
          <w:w w:val="115"/>
        </w:rPr>
        <w:t>diagnosis</w:t>
      </w:r>
      <w:r>
        <w:rPr>
          <w:color w:val="2D2D2D"/>
          <w:spacing w:val="-13"/>
          <w:w w:val="115"/>
        </w:rPr>
        <w:t> </w:t>
      </w:r>
      <w:r>
        <w:rPr>
          <w:color w:val="2D2D2D"/>
          <w:w w:val="115"/>
        </w:rPr>
        <w:t>of</w:t>
      </w:r>
      <w:r>
        <w:rPr>
          <w:color w:val="2D2D2D"/>
          <w:spacing w:val="-10"/>
          <w:w w:val="115"/>
        </w:rPr>
        <w:t> </w:t>
      </w:r>
      <w:r>
        <w:rPr>
          <w:color w:val="2D2D2D"/>
          <w:w w:val="115"/>
        </w:rPr>
        <w:t>diabetes</w:t>
      </w:r>
      <w:r>
        <w:rPr>
          <w:color w:val="2D2D2D"/>
          <w:spacing w:val="-18"/>
          <w:w w:val="115"/>
        </w:rPr>
        <w:t> </w:t>
      </w:r>
      <w:r>
        <w:rPr>
          <w:color w:val="2D2D2D"/>
          <w:w w:val="115"/>
        </w:rPr>
        <w:t>mellitus</w:t>
      </w:r>
      <w:r>
        <w:rPr>
          <w:color w:val="2D2D2D"/>
          <w:spacing w:val="-15"/>
          <w:w w:val="115"/>
        </w:rPr>
        <w:t> </w:t>
      </w:r>
      <w:r>
        <w:rPr>
          <w:color w:val="2D2D2D"/>
          <w:w w:val="115"/>
        </w:rPr>
        <w:t>secondary</w:t>
      </w:r>
      <w:r>
        <w:rPr>
          <w:color w:val="2D2D2D"/>
          <w:spacing w:val="-6"/>
          <w:w w:val="115"/>
        </w:rPr>
        <w:t> </w:t>
      </w:r>
      <w:r>
        <w:rPr>
          <w:color w:val="2D2D2D"/>
          <w:w w:val="115"/>
        </w:rPr>
        <w:t>(DMS)</w:t>
      </w:r>
      <w:r>
        <w:rPr>
          <w:color w:val="2D2D2D"/>
          <w:spacing w:val="-15"/>
          <w:w w:val="115"/>
        </w:rPr>
        <w:t> </w:t>
      </w:r>
      <w:r>
        <w:rPr>
          <w:color w:val="2D2D2D"/>
          <w:w w:val="115"/>
        </w:rPr>
        <w:t>to</w:t>
      </w:r>
      <w:r>
        <w:rPr>
          <w:color w:val="2D2D2D"/>
          <w:spacing w:val="-6"/>
          <w:w w:val="115"/>
        </w:rPr>
        <w:t> </w:t>
      </w:r>
      <w:r>
        <w:rPr>
          <w:color w:val="2D2D2D"/>
          <w:w w:val="115"/>
        </w:rPr>
        <w:t>a</w:t>
      </w:r>
      <w:r>
        <w:rPr>
          <w:color w:val="2D2D2D"/>
          <w:spacing w:val="-13"/>
          <w:w w:val="115"/>
        </w:rPr>
        <w:t> </w:t>
      </w:r>
      <w:r>
        <w:rPr>
          <w:color w:val="2D2D2D"/>
          <w:w w:val="115"/>
        </w:rPr>
        <w:t>necrosectomy due to septic complication of severe acute pancreatitis </w:t>
      </w:r>
      <w:r>
        <w:rPr>
          <w:color w:val="3B3B3B"/>
          <w:w w:val="115"/>
        </w:rPr>
        <w:t>( </w:t>
      </w:r>
      <w:r>
        <w:rPr>
          <w:color w:val="3B3B3B"/>
          <w:spacing w:val="-13"/>
          <w:w w:val="115"/>
        </w:rPr>
        <w:t>SA</w:t>
      </w:r>
      <w:r>
        <w:rPr>
          <w:color w:val="080808"/>
          <w:spacing w:val="-13"/>
          <w:w w:val="115"/>
        </w:rPr>
        <w:t>P</w:t>
      </w:r>
      <w:r>
        <w:rPr>
          <w:color w:val="2D2D2D"/>
          <w:spacing w:val="-13"/>
          <w:w w:val="115"/>
        </w:rPr>
        <w:t>) </w:t>
      </w:r>
      <w:r>
        <w:rPr>
          <w:color w:val="2D2D2D"/>
          <w:w w:val="115"/>
        </w:rPr>
        <w:t>cared for </w:t>
      </w:r>
      <w:r>
        <w:rPr>
          <w:color w:val="3B3B3B"/>
          <w:w w:val="115"/>
        </w:rPr>
        <w:t>between </w:t>
      </w:r>
      <w:r>
        <w:rPr>
          <w:color w:val="2D2D2D"/>
          <w:w w:val="115"/>
        </w:rPr>
        <w:t>January 1st 1999 and December 31st 2009, older than </w:t>
      </w:r>
      <w:r>
        <w:rPr>
          <w:color w:val="3B3B3B"/>
          <w:w w:val="115"/>
        </w:rPr>
        <w:t>18 </w:t>
      </w:r>
      <w:r>
        <w:rPr>
          <w:color w:val="2D2D2D"/>
          <w:w w:val="115"/>
        </w:rPr>
        <w:t>years, of either sex, alive at the time of follow</w:t>
      </w:r>
      <w:r>
        <w:rPr>
          <w:color w:val="080808"/>
          <w:w w:val="115"/>
        </w:rPr>
        <w:t>-</w:t>
      </w:r>
      <w:r>
        <w:rPr>
          <w:color w:val="3B3B3B"/>
          <w:w w:val="115"/>
        </w:rPr>
        <w:t>up, </w:t>
      </w:r>
      <w:r>
        <w:rPr>
          <w:color w:val="2D2D2D"/>
          <w:w w:val="115"/>
        </w:rPr>
        <w:t>and a follow </w:t>
      </w:r>
      <w:r>
        <w:rPr>
          <w:color w:val="080808"/>
          <w:w w:val="115"/>
        </w:rPr>
        <w:t>­ </w:t>
      </w:r>
      <w:r>
        <w:rPr>
          <w:color w:val="3B3B3B"/>
          <w:w w:val="115"/>
        </w:rPr>
        <w:t>up </w:t>
      </w:r>
      <w:r>
        <w:rPr>
          <w:color w:val="2D2D2D"/>
          <w:w w:val="115"/>
        </w:rPr>
        <w:t>of 12 months </w:t>
      </w:r>
      <w:r>
        <w:rPr>
          <w:color w:val="080808"/>
          <w:w w:val="115"/>
        </w:rPr>
        <w:t>. </w:t>
      </w:r>
      <w:r>
        <w:rPr>
          <w:color w:val="2D2D2D"/>
          <w:w w:val="115"/>
        </w:rPr>
        <w:t>Assessed variables were: age, gender, etiology, degree of necrosis, number of pancreatic debridements, </w:t>
      </w:r>
      <w:r>
        <w:rPr>
          <w:color w:val="3B3B3B"/>
          <w:w w:val="115"/>
        </w:rPr>
        <w:t>in</w:t>
      </w:r>
      <w:r>
        <w:rPr>
          <w:color w:val="080808"/>
          <w:w w:val="115"/>
        </w:rPr>
        <w:t>-</w:t>
      </w:r>
      <w:r>
        <w:rPr>
          <w:color w:val="2D2D2D"/>
          <w:w w:val="115"/>
        </w:rPr>
        <w:t>hospital stay days, days of </w:t>
      </w:r>
      <w:r>
        <w:rPr>
          <w:color w:val="080808"/>
          <w:w w:val="115"/>
        </w:rPr>
        <w:t>I </w:t>
      </w:r>
      <w:r>
        <w:rPr>
          <w:color w:val="2D2D2D"/>
          <w:w w:val="115"/>
        </w:rPr>
        <w:t>ntensive Care Unit stay, scores of </w:t>
      </w:r>
      <w:r>
        <w:rPr>
          <w:color w:val="3B3B3B"/>
          <w:w w:val="115"/>
        </w:rPr>
        <w:t>preoperative </w:t>
      </w:r>
      <w:r>
        <w:rPr>
          <w:color w:val="2D2D2D"/>
          <w:w w:val="115"/>
        </w:rPr>
        <w:t>Ranson,</w:t>
      </w:r>
      <w:r>
        <w:rPr>
          <w:color w:val="2D2D2D"/>
          <w:spacing w:val="-15"/>
          <w:w w:val="115"/>
        </w:rPr>
        <w:t> </w:t>
      </w:r>
      <w:r>
        <w:rPr>
          <w:color w:val="2D2D2D"/>
          <w:w w:val="115"/>
        </w:rPr>
        <w:t>APACHE</w:t>
      </w:r>
      <w:r>
        <w:rPr>
          <w:color w:val="2D2D2D"/>
          <w:spacing w:val="-18"/>
          <w:w w:val="115"/>
        </w:rPr>
        <w:t> </w:t>
      </w:r>
      <w:r>
        <w:rPr>
          <w:color w:val="2D2D2D"/>
          <w:w w:val="115"/>
        </w:rPr>
        <w:t>II,</w:t>
      </w:r>
      <w:r>
        <w:rPr>
          <w:color w:val="2D2D2D"/>
          <w:spacing w:val="31"/>
          <w:w w:val="115"/>
        </w:rPr>
        <w:t> </w:t>
      </w:r>
      <w:r>
        <w:rPr>
          <w:color w:val="2D2D2D"/>
          <w:w w:val="115"/>
        </w:rPr>
        <w:t>and</w:t>
      </w:r>
      <w:r>
        <w:rPr>
          <w:color w:val="2D2D2D"/>
          <w:spacing w:val="4"/>
          <w:w w:val="115"/>
        </w:rPr>
        <w:t> </w:t>
      </w:r>
      <w:r>
        <w:rPr>
          <w:color w:val="2D2D2D"/>
          <w:w w:val="115"/>
        </w:rPr>
        <w:t>Balthazar,</w:t>
      </w:r>
      <w:r>
        <w:rPr>
          <w:color w:val="2D2D2D"/>
          <w:spacing w:val="-7"/>
          <w:w w:val="115"/>
        </w:rPr>
        <w:t> </w:t>
      </w:r>
      <w:r>
        <w:rPr>
          <w:color w:val="2D2D2D"/>
          <w:w w:val="115"/>
        </w:rPr>
        <w:t>fasting</w:t>
      </w:r>
      <w:r>
        <w:rPr>
          <w:color w:val="2D2D2D"/>
          <w:spacing w:val="-11"/>
          <w:w w:val="115"/>
        </w:rPr>
        <w:t> </w:t>
      </w:r>
      <w:r>
        <w:rPr>
          <w:color w:val="2D2D2D"/>
          <w:w w:val="115"/>
        </w:rPr>
        <w:t>glycemia</w:t>
      </w:r>
      <w:r>
        <w:rPr>
          <w:color w:val="2D2D2D"/>
          <w:spacing w:val="-11"/>
          <w:w w:val="115"/>
        </w:rPr>
        <w:t> </w:t>
      </w:r>
      <w:r>
        <w:rPr>
          <w:color w:val="2D2D2D"/>
          <w:w w:val="115"/>
        </w:rPr>
        <w:t>at</w:t>
      </w:r>
      <w:r>
        <w:rPr>
          <w:color w:val="2D2D2D"/>
          <w:spacing w:val="-6"/>
          <w:w w:val="115"/>
        </w:rPr>
        <w:t> </w:t>
      </w:r>
      <w:r>
        <w:rPr>
          <w:color w:val="2D2D2D"/>
          <w:w w:val="115"/>
        </w:rPr>
        <w:t>1,</w:t>
      </w:r>
      <w:r>
        <w:rPr>
          <w:color w:val="2D2D2D"/>
          <w:spacing w:val="-2"/>
          <w:w w:val="115"/>
        </w:rPr>
        <w:t> </w:t>
      </w:r>
      <w:r>
        <w:rPr>
          <w:color w:val="2D2D2D"/>
          <w:w w:val="115"/>
        </w:rPr>
        <w:t>6,</w:t>
      </w:r>
      <w:r>
        <w:rPr>
          <w:color w:val="2D2D2D"/>
          <w:spacing w:val="-9"/>
          <w:w w:val="115"/>
        </w:rPr>
        <w:t> </w:t>
      </w:r>
      <w:r>
        <w:rPr>
          <w:color w:val="2D2D2D"/>
          <w:w w:val="115"/>
        </w:rPr>
        <w:t>and</w:t>
      </w:r>
      <w:r>
        <w:rPr>
          <w:color w:val="2D2D2D"/>
          <w:spacing w:val="-9"/>
          <w:w w:val="115"/>
        </w:rPr>
        <w:t> </w:t>
      </w:r>
      <w:r>
        <w:rPr>
          <w:color w:val="2D2D2D"/>
          <w:w w:val="115"/>
        </w:rPr>
        <w:t>12 months a er the</w:t>
      </w:r>
      <w:r>
        <w:rPr>
          <w:color w:val="3B3B3B"/>
          <w:w w:val="115"/>
        </w:rPr>
        <w:t>last </w:t>
      </w:r>
      <w:r>
        <w:rPr>
          <w:color w:val="2D2D2D"/>
          <w:w w:val="115"/>
        </w:rPr>
        <w:t>surgery to detect patients with</w:t>
      </w:r>
      <w:r>
        <w:rPr>
          <w:color w:val="2D2D2D"/>
          <w:spacing w:val="-5"/>
          <w:w w:val="115"/>
        </w:rPr>
        <w:t> </w:t>
      </w:r>
      <w:r>
        <w:rPr>
          <w:color w:val="2D2D2D"/>
          <w:w w:val="115"/>
        </w:rPr>
        <w:t>DMS.</w:t>
      </w:r>
    </w:p>
    <w:p>
      <w:pPr>
        <w:pStyle w:val="BodyText"/>
        <w:spacing w:line="264" w:lineRule="auto" w:before="99"/>
        <w:ind w:left="1523" w:right="1405" w:firstLine="11"/>
      </w:pPr>
      <w:r>
        <w:rPr>
          <w:b/>
          <w:color w:val="080808"/>
          <w:w w:val="110"/>
        </w:rPr>
        <w:t>Results: </w:t>
      </w:r>
      <w:r>
        <w:rPr>
          <w:color w:val="181818"/>
          <w:w w:val="110"/>
        </w:rPr>
        <w:t>From </w:t>
      </w:r>
      <w:r>
        <w:rPr>
          <w:color w:val="2D2D2D"/>
          <w:w w:val="110"/>
        </w:rPr>
        <w:t>a total of 137 patients with septic  complications  of </w:t>
      </w:r>
      <w:r>
        <w:rPr>
          <w:color w:val="2D2D2D"/>
          <w:spacing w:val="-10"/>
          <w:w w:val="110"/>
        </w:rPr>
        <w:t>SA</w:t>
      </w:r>
      <w:r>
        <w:rPr>
          <w:color w:val="080808"/>
          <w:spacing w:val="-10"/>
          <w:w w:val="110"/>
        </w:rPr>
        <w:t>P </w:t>
      </w:r>
      <w:r>
        <w:rPr>
          <w:color w:val="2D2D2D"/>
          <w:w w:val="110"/>
        </w:rPr>
        <w:t>and necrosectomy, 67 were </w:t>
      </w:r>
      <w:r>
        <w:rPr>
          <w:color w:val="3B3B3B"/>
          <w:w w:val="110"/>
        </w:rPr>
        <w:t>excluded: </w:t>
      </w:r>
      <w:r>
        <w:rPr>
          <w:color w:val="2D2D2D"/>
          <w:w w:val="110"/>
        </w:rPr>
        <w:t>33  (24%)  due to  </w:t>
      </w:r>
      <w:r>
        <w:rPr>
          <w:color w:val="3B3B3B"/>
          <w:w w:val="110"/>
        </w:rPr>
        <w:t>death, 26 (18.9%) </w:t>
      </w:r>
      <w:r>
        <w:rPr>
          <w:color w:val="2D2D2D"/>
          <w:w w:val="110"/>
        </w:rPr>
        <w:t>because of </w:t>
      </w:r>
      <w:r>
        <w:rPr>
          <w:color w:val="3B3B3B"/>
          <w:w w:val="110"/>
        </w:rPr>
        <w:t>incomplete </w:t>
      </w:r>
      <w:r>
        <w:rPr>
          <w:color w:val="2D2D2D"/>
          <w:w w:val="110"/>
        </w:rPr>
        <w:t>follow </w:t>
      </w:r>
      <w:r>
        <w:rPr>
          <w:color w:val="3B3B3B"/>
          <w:w w:val="110"/>
        </w:rPr>
        <w:t>up, </w:t>
      </w:r>
      <w:r>
        <w:rPr>
          <w:color w:val="2D2D2D"/>
          <w:w w:val="110"/>
        </w:rPr>
        <w:t>and 8 </w:t>
      </w:r>
      <w:r>
        <w:rPr>
          <w:color w:val="3B3B3B"/>
          <w:w w:val="110"/>
        </w:rPr>
        <w:t>( 5</w:t>
      </w:r>
      <w:r>
        <w:rPr>
          <w:color w:val="080808"/>
          <w:w w:val="110"/>
        </w:rPr>
        <w:t>.</w:t>
      </w:r>
      <w:r>
        <w:rPr>
          <w:color w:val="2D2D2D"/>
          <w:w w:val="110"/>
        </w:rPr>
        <w:t>8% ) because of DM before the acute pancreatitis </w:t>
      </w:r>
      <w:r>
        <w:rPr>
          <w:color w:val="3B3B3B"/>
          <w:w w:val="110"/>
        </w:rPr>
        <w:t>event, </w:t>
      </w:r>
      <w:r>
        <w:rPr>
          <w:color w:val="2D2D2D"/>
          <w:w w:val="110"/>
        </w:rPr>
        <w:t>this </w:t>
      </w:r>
      <w:r>
        <w:rPr>
          <w:color w:val="3B3B3B"/>
          <w:w w:val="110"/>
        </w:rPr>
        <w:t>left </w:t>
      </w:r>
      <w:r>
        <w:rPr>
          <w:color w:val="2D2D2D"/>
          <w:w w:val="110"/>
        </w:rPr>
        <w:t>70 patients  of which 46 </w:t>
      </w:r>
      <w:r>
        <w:rPr>
          <w:color w:val="3B3B3B"/>
          <w:w w:val="110"/>
        </w:rPr>
        <w:t>(65.</w:t>
      </w:r>
      <w:r>
        <w:rPr>
          <w:color w:val="2D2D2D"/>
          <w:w w:val="110"/>
        </w:rPr>
        <w:t>7 </w:t>
      </w:r>
      <w:r>
        <w:rPr>
          <w:color w:val="3B3B3B"/>
          <w:w w:val="110"/>
        </w:rPr>
        <w:t>%) </w:t>
      </w:r>
      <w:r>
        <w:rPr>
          <w:color w:val="2D2D2D"/>
          <w:w w:val="110"/>
        </w:rPr>
        <w:t>developed OMS; </w:t>
      </w:r>
      <w:r>
        <w:rPr>
          <w:color w:val="3B3B3B"/>
          <w:w w:val="110"/>
        </w:rPr>
        <w:t>etiology </w:t>
      </w:r>
      <w:r>
        <w:rPr>
          <w:color w:val="2D2D2D"/>
          <w:w w:val="110"/>
        </w:rPr>
        <w:t>was alcoholic </w:t>
      </w:r>
      <w:r>
        <w:rPr>
          <w:color w:val="3B3B3B"/>
          <w:w w:val="110"/>
        </w:rPr>
        <w:t>in </w:t>
      </w:r>
      <w:r>
        <w:rPr>
          <w:color w:val="2D2D2D"/>
          <w:w w:val="110"/>
        </w:rPr>
        <w:t>36 (51.4%), biliary </w:t>
      </w:r>
      <w:r>
        <w:rPr>
          <w:color w:val="3B3B3B"/>
          <w:w w:val="110"/>
        </w:rPr>
        <w:t>in </w:t>
      </w:r>
      <w:r>
        <w:rPr>
          <w:color w:val="2D2D2D"/>
          <w:w w:val="110"/>
        </w:rPr>
        <w:t>31 </w:t>
      </w:r>
      <w:r>
        <w:rPr>
          <w:color w:val="3B3B3B"/>
          <w:w w:val="110"/>
        </w:rPr>
        <w:t>(44.3%), </w:t>
      </w:r>
      <w:r>
        <w:rPr>
          <w:color w:val="2D2D2D"/>
          <w:w w:val="110"/>
        </w:rPr>
        <w:t>and other causes </w:t>
      </w:r>
      <w:r>
        <w:rPr>
          <w:color w:val="3B3B3B"/>
          <w:w w:val="110"/>
        </w:rPr>
        <w:t>in </w:t>
      </w:r>
      <w:r>
        <w:rPr>
          <w:color w:val="2D2D2D"/>
          <w:w w:val="110"/>
        </w:rPr>
        <w:t>3 </w:t>
      </w:r>
      <w:r>
        <w:rPr>
          <w:color w:val="3B3B3B"/>
          <w:w w:val="110"/>
        </w:rPr>
        <w:t>(4 </w:t>
      </w:r>
      <w:r>
        <w:rPr>
          <w:color w:val="080808"/>
          <w:w w:val="110"/>
        </w:rPr>
        <w:t>. </w:t>
      </w:r>
      <w:r>
        <w:rPr>
          <w:color w:val="2D2D2D"/>
          <w:w w:val="110"/>
        </w:rPr>
        <w:t>3% ). Tomography evaluation </w:t>
      </w:r>
      <w:r>
        <w:rPr>
          <w:color w:val="3B3B3B"/>
          <w:w w:val="110"/>
        </w:rPr>
        <w:t>revealed </w:t>
      </w:r>
      <w:r>
        <w:rPr>
          <w:color w:val="2D2D2D"/>
          <w:w w:val="110"/>
        </w:rPr>
        <w:t>10 (14 </w:t>
      </w:r>
      <w:r>
        <w:rPr>
          <w:color w:val="080808"/>
          <w:spacing w:val="4"/>
          <w:w w:val="110"/>
        </w:rPr>
        <w:t>.</w:t>
      </w:r>
      <w:r>
        <w:rPr>
          <w:color w:val="2D2D2D"/>
          <w:spacing w:val="4"/>
          <w:w w:val="110"/>
        </w:rPr>
        <w:t>3%)  </w:t>
      </w:r>
      <w:r>
        <w:rPr>
          <w:color w:val="2D2D2D"/>
          <w:w w:val="110"/>
        </w:rPr>
        <w:t>cases  with Balthazar C,   </w:t>
      </w:r>
      <w:r>
        <w:rPr>
          <w:color w:val="3B3B3B"/>
          <w:w w:val="110"/>
        </w:rPr>
        <w:t>20   </w:t>
      </w:r>
      <w:r>
        <w:rPr>
          <w:color w:val="2D2D2D"/>
          <w:w w:val="110"/>
        </w:rPr>
        <w:t>(28 </w:t>
      </w:r>
      <w:r>
        <w:rPr>
          <w:color w:val="080808"/>
          <w:w w:val="110"/>
        </w:rPr>
        <w:t>.</w:t>
      </w:r>
      <w:r>
        <w:rPr>
          <w:color w:val="2D2D2D"/>
          <w:w w:val="110"/>
        </w:rPr>
        <w:t>6% )   with   D,   and   40   (57</w:t>
      </w:r>
      <w:r>
        <w:rPr>
          <w:color w:val="080808"/>
          <w:w w:val="110"/>
        </w:rPr>
        <w:t>.</w:t>
      </w:r>
      <w:r>
        <w:rPr>
          <w:color w:val="3B3B3B"/>
          <w:w w:val="110"/>
        </w:rPr>
        <w:t>1%)   </w:t>
      </w:r>
      <w:r>
        <w:rPr>
          <w:color w:val="2D2D2D"/>
          <w:w w:val="110"/>
        </w:rPr>
        <w:t>with   E.   </w:t>
      </w:r>
      <w:r>
        <w:rPr>
          <w:color w:val="080808"/>
          <w:spacing w:val="-4"/>
          <w:w w:val="110"/>
        </w:rPr>
        <w:t>P</w:t>
      </w:r>
      <w:r>
        <w:rPr>
          <w:color w:val="2D2D2D"/>
          <w:spacing w:val="-4"/>
          <w:w w:val="110"/>
        </w:rPr>
        <w:t>ancreat</w:t>
      </w:r>
      <w:r>
        <w:rPr>
          <w:color w:val="2D2D2D"/>
          <w:w w:val="110"/>
        </w:rPr>
        <w:t> ic</w:t>
      </w:r>
    </w:p>
    <w:p>
      <w:pPr>
        <w:pStyle w:val="BodyText"/>
        <w:spacing w:before="6"/>
        <w:ind w:left="1532"/>
      </w:pPr>
      <w:r>
        <w:rPr>
          <w:color w:val="2D2D2D"/>
          <w:w w:val="115"/>
        </w:rPr>
        <w:t>debridements performed  were:  1 </w:t>
      </w:r>
      <w:r>
        <w:rPr>
          <w:color w:val="3B3B3B"/>
          <w:w w:val="115"/>
        </w:rPr>
        <w:t>in  </w:t>
      </w:r>
      <w:r>
        <w:rPr>
          <w:color w:val="2D2D2D"/>
          <w:w w:val="115"/>
        </w:rPr>
        <w:t>18  patients </w:t>
      </w:r>
      <w:r>
        <w:rPr>
          <w:color w:val="3B3B3B"/>
          <w:spacing w:val="2"/>
          <w:w w:val="115"/>
        </w:rPr>
        <w:t>(25</w:t>
      </w:r>
      <w:r>
        <w:rPr>
          <w:color w:val="080808"/>
          <w:spacing w:val="2"/>
          <w:w w:val="115"/>
        </w:rPr>
        <w:t>.</w:t>
      </w:r>
      <w:r>
        <w:rPr>
          <w:color w:val="2D2D2D"/>
          <w:spacing w:val="2"/>
          <w:w w:val="115"/>
        </w:rPr>
        <w:t>8%),  </w:t>
      </w:r>
      <w:r>
        <w:rPr>
          <w:color w:val="2D2D2D"/>
          <w:w w:val="115"/>
        </w:rPr>
        <w:t>2 </w:t>
      </w:r>
      <w:r>
        <w:rPr>
          <w:color w:val="3B3B3B"/>
          <w:w w:val="115"/>
        </w:rPr>
        <w:t>in</w:t>
      </w:r>
      <w:r>
        <w:rPr>
          <w:color w:val="3B3B3B"/>
          <w:spacing w:val="46"/>
          <w:w w:val="115"/>
        </w:rPr>
        <w:t> </w:t>
      </w:r>
      <w:r>
        <w:rPr>
          <w:color w:val="3B3B3B"/>
          <w:w w:val="115"/>
        </w:rPr>
        <w:t>12</w:t>
      </w:r>
    </w:p>
    <w:p>
      <w:pPr>
        <w:pStyle w:val="BodyText"/>
        <w:spacing w:line="261" w:lineRule="auto" w:before="25"/>
        <w:ind w:left="1530" w:right="1392" w:firstLine="6"/>
      </w:pPr>
      <w:r>
        <w:rPr>
          <w:color w:val="2D2D2D"/>
          <w:spacing w:val="2"/>
          <w:w w:val="115"/>
        </w:rPr>
        <w:t>(17</w:t>
      </w:r>
      <w:r>
        <w:rPr>
          <w:color w:val="080808"/>
          <w:spacing w:val="2"/>
          <w:w w:val="115"/>
        </w:rPr>
        <w:t>.</w:t>
      </w:r>
      <w:r>
        <w:rPr>
          <w:color w:val="2D2D2D"/>
          <w:spacing w:val="2"/>
          <w:w w:val="115"/>
        </w:rPr>
        <w:t>1%), </w:t>
      </w:r>
      <w:r>
        <w:rPr>
          <w:color w:val="2D2D2D"/>
          <w:w w:val="115"/>
        </w:rPr>
        <w:t>3 </w:t>
      </w:r>
      <w:r>
        <w:rPr>
          <w:color w:val="3B3B3B"/>
          <w:w w:val="115"/>
        </w:rPr>
        <w:t>in </w:t>
      </w:r>
      <w:r>
        <w:rPr>
          <w:color w:val="2D2D2D"/>
          <w:w w:val="115"/>
        </w:rPr>
        <w:t>12 </w:t>
      </w:r>
      <w:r>
        <w:rPr>
          <w:color w:val="3B3B3B"/>
          <w:w w:val="115"/>
        </w:rPr>
        <w:t>(17.1%), </w:t>
      </w:r>
      <w:r>
        <w:rPr>
          <w:color w:val="2D2D2D"/>
          <w:w w:val="115"/>
        </w:rPr>
        <w:t>4 </w:t>
      </w:r>
      <w:r>
        <w:rPr>
          <w:color w:val="3B3B3B"/>
          <w:w w:val="115"/>
        </w:rPr>
        <w:t>in </w:t>
      </w:r>
      <w:r>
        <w:rPr>
          <w:color w:val="2D2D2D"/>
          <w:w w:val="115"/>
        </w:rPr>
        <w:t>13 (18.6%), and 5 or more </w:t>
      </w:r>
      <w:r>
        <w:rPr>
          <w:color w:val="3B3B3B"/>
          <w:w w:val="115"/>
        </w:rPr>
        <w:t>in </w:t>
      </w:r>
      <w:r>
        <w:rPr>
          <w:color w:val="2D2D2D"/>
          <w:w w:val="115"/>
        </w:rPr>
        <w:t>15 cases</w:t>
      </w:r>
      <w:r>
        <w:rPr>
          <w:color w:val="2D2D2D"/>
          <w:spacing w:val="-1"/>
          <w:w w:val="115"/>
        </w:rPr>
        <w:t> </w:t>
      </w:r>
      <w:r>
        <w:rPr>
          <w:color w:val="3B3B3B"/>
          <w:w w:val="115"/>
        </w:rPr>
        <w:t>(</w:t>
      </w:r>
      <w:r>
        <w:rPr>
          <w:color w:val="3B3B3B"/>
          <w:spacing w:val="-36"/>
          <w:w w:val="115"/>
        </w:rPr>
        <w:t> </w:t>
      </w:r>
      <w:r>
        <w:rPr>
          <w:color w:val="3B3B3B"/>
          <w:w w:val="115"/>
        </w:rPr>
        <w:t>21.4</w:t>
      </w:r>
      <w:r>
        <w:rPr>
          <w:color w:val="3B3B3B"/>
          <w:spacing w:val="-39"/>
          <w:w w:val="115"/>
        </w:rPr>
        <w:t> </w:t>
      </w:r>
      <w:r>
        <w:rPr>
          <w:color w:val="3B3B3B"/>
          <w:spacing w:val="8"/>
          <w:w w:val="115"/>
        </w:rPr>
        <w:t>%)</w:t>
      </w:r>
      <w:r>
        <w:rPr>
          <w:color w:val="3B3B3B"/>
          <w:spacing w:val="-36"/>
          <w:w w:val="115"/>
        </w:rPr>
        <w:t> </w:t>
      </w:r>
      <w:r>
        <w:rPr>
          <w:color w:val="080808"/>
          <w:w w:val="115"/>
        </w:rPr>
        <w:t>.</w:t>
      </w:r>
      <w:r>
        <w:rPr>
          <w:color w:val="080808"/>
          <w:spacing w:val="11"/>
          <w:w w:val="115"/>
        </w:rPr>
        <w:t> </w:t>
      </w:r>
      <w:r>
        <w:rPr>
          <w:color w:val="2D2D2D"/>
          <w:w w:val="115"/>
        </w:rPr>
        <w:t>Average</w:t>
      </w:r>
      <w:r>
        <w:rPr>
          <w:color w:val="2D2D2D"/>
          <w:spacing w:val="10"/>
          <w:w w:val="115"/>
        </w:rPr>
        <w:t> </w:t>
      </w:r>
      <w:r>
        <w:rPr>
          <w:color w:val="3B3B3B"/>
          <w:w w:val="115"/>
        </w:rPr>
        <w:t>in</w:t>
      </w:r>
      <w:r>
        <w:rPr>
          <w:color w:val="080808"/>
          <w:w w:val="115"/>
        </w:rPr>
        <w:t>-</w:t>
      </w:r>
      <w:r>
        <w:rPr>
          <w:color w:val="2D2D2D"/>
          <w:w w:val="115"/>
        </w:rPr>
        <w:t>hospital</w:t>
      </w:r>
      <w:r>
        <w:rPr>
          <w:color w:val="2D2D2D"/>
          <w:spacing w:val="32"/>
          <w:w w:val="115"/>
        </w:rPr>
        <w:t> </w:t>
      </w:r>
      <w:r>
        <w:rPr>
          <w:color w:val="2D2D2D"/>
          <w:w w:val="115"/>
        </w:rPr>
        <w:t>stay</w:t>
      </w:r>
      <w:r>
        <w:rPr>
          <w:color w:val="2D2D2D"/>
          <w:spacing w:val="3"/>
          <w:w w:val="115"/>
        </w:rPr>
        <w:t> </w:t>
      </w:r>
      <w:r>
        <w:rPr>
          <w:color w:val="2D2D2D"/>
          <w:w w:val="115"/>
        </w:rPr>
        <w:t>and</w:t>
      </w:r>
      <w:r>
        <w:rPr>
          <w:color w:val="2D2D2D"/>
          <w:spacing w:val="2"/>
          <w:w w:val="115"/>
        </w:rPr>
        <w:t> </w:t>
      </w:r>
      <w:r>
        <w:rPr>
          <w:color w:val="3B3B3B"/>
          <w:w w:val="115"/>
        </w:rPr>
        <w:t>in</w:t>
      </w:r>
      <w:r>
        <w:rPr>
          <w:color w:val="3B3B3B"/>
          <w:spacing w:val="14"/>
          <w:w w:val="115"/>
        </w:rPr>
        <w:t> </w:t>
      </w:r>
      <w:r>
        <w:rPr>
          <w:color w:val="2D2D2D"/>
          <w:w w:val="115"/>
        </w:rPr>
        <w:t>the</w:t>
      </w:r>
      <w:r>
        <w:rPr>
          <w:color w:val="2D2D2D"/>
          <w:spacing w:val="6"/>
          <w:w w:val="115"/>
        </w:rPr>
        <w:t> </w:t>
      </w:r>
      <w:r>
        <w:rPr>
          <w:color w:val="080808"/>
          <w:w w:val="115"/>
        </w:rPr>
        <w:t>I</w:t>
      </w:r>
      <w:r>
        <w:rPr>
          <w:color w:val="080808"/>
          <w:spacing w:val="-38"/>
          <w:w w:val="115"/>
        </w:rPr>
        <w:t> </w:t>
      </w:r>
      <w:r>
        <w:rPr>
          <w:color w:val="2D2D2D"/>
          <w:w w:val="115"/>
        </w:rPr>
        <w:t>ntensive</w:t>
      </w:r>
      <w:r>
        <w:rPr>
          <w:color w:val="2D2D2D"/>
          <w:spacing w:val="4"/>
          <w:w w:val="115"/>
        </w:rPr>
        <w:t> </w:t>
      </w:r>
      <w:r>
        <w:rPr>
          <w:color w:val="2D2D2D"/>
          <w:w w:val="115"/>
        </w:rPr>
        <w:t>Care Unit was </w:t>
      </w:r>
      <w:r>
        <w:rPr>
          <w:color w:val="3B3B3B"/>
          <w:w w:val="115"/>
        </w:rPr>
        <w:t>21.6 (range </w:t>
      </w:r>
      <w:r>
        <w:rPr>
          <w:color w:val="2D2D2D"/>
          <w:w w:val="115"/>
        </w:rPr>
        <w:t>10</w:t>
      </w:r>
      <w:r>
        <w:rPr>
          <w:color w:val="080808"/>
          <w:w w:val="115"/>
        </w:rPr>
        <w:t>-</w:t>
      </w:r>
      <w:r>
        <w:rPr>
          <w:color w:val="3B3B3B"/>
          <w:w w:val="115"/>
        </w:rPr>
        <w:t>48) </w:t>
      </w:r>
      <w:r>
        <w:rPr>
          <w:color w:val="2D2D2D"/>
          <w:w w:val="115"/>
        </w:rPr>
        <w:t>days and 14.2 (range 5</w:t>
      </w:r>
      <w:r>
        <w:rPr>
          <w:color w:val="080808"/>
          <w:w w:val="115"/>
        </w:rPr>
        <w:t>-</w:t>
      </w:r>
      <w:r>
        <w:rPr>
          <w:color w:val="2D2D2D"/>
          <w:w w:val="115"/>
        </w:rPr>
        <w:t>28) days, </w:t>
      </w:r>
      <w:r>
        <w:rPr>
          <w:color w:val="3B3B3B"/>
          <w:w w:val="115"/>
        </w:rPr>
        <w:t>respectively. </w:t>
      </w:r>
      <w:r>
        <w:rPr>
          <w:color w:val="2D2D2D"/>
          <w:w w:val="115"/>
        </w:rPr>
        <w:t>The average Ranson score was of </w:t>
      </w:r>
      <w:r>
        <w:rPr>
          <w:color w:val="3B3B3B"/>
          <w:w w:val="115"/>
        </w:rPr>
        <w:t>2.8 (range </w:t>
      </w:r>
      <w:r>
        <w:rPr>
          <w:color w:val="2D2D2D"/>
          <w:w w:val="115"/>
        </w:rPr>
        <w:t>2</w:t>
      </w:r>
      <w:r>
        <w:rPr>
          <w:color w:val="080808"/>
          <w:w w:val="115"/>
        </w:rPr>
        <w:t>-</w:t>
      </w:r>
      <w:r>
        <w:rPr>
          <w:color w:val="2D2D2D"/>
          <w:w w:val="115"/>
        </w:rPr>
        <w:t>6) and average </w:t>
      </w:r>
      <w:r>
        <w:rPr>
          <w:color w:val="3B3B3B"/>
          <w:w w:val="115"/>
        </w:rPr>
        <w:t>preoperative </w:t>
      </w:r>
      <w:r>
        <w:rPr>
          <w:color w:val="2D2D2D"/>
          <w:w w:val="115"/>
        </w:rPr>
        <w:t>APACHE </w:t>
      </w:r>
      <w:r>
        <w:rPr>
          <w:color w:val="181818"/>
          <w:w w:val="115"/>
        </w:rPr>
        <w:t>II </w:t>
      </w:r>
      <w:r>
        <w:rPr>
          <w:color w:val="2D2D2D"/>
          <w:w w:val="115"/>
        </w:rPr>
        <w:t>was of 12 </w:t>
      </w:r>
      <w:r>
        <w:rPr>
          <w:color w:val="3B3B3B"/>
          <w:w w:val="115"/>
        </w:rPr>
        <w:t>(range </w:t>
      </w:r>
      <w:r>
        <w:rPr>
          <w:color w:val="2D2D2D"/>
          <w:w w:val="115"/>
        </w:rPr>
        <w:t>8</w:t>
      </w:r>
      <w:r>
        <w:rPr>
          <w:color w:val="080808"/>
          <w:w w:val="115"/>
        </w:rPr>
        <w:t>-</w:t>
      </w:r>
      <w:r>
        <w:rPr>
          <w:color w:val="3B3B3B"/>
          <w:w w:val="115"/>
        </w:rPr>
        <w:t>28)</w:t>
      </w:r>
      <w:r>
        <w:rPr>
          <w:color w:val="080808"/>
          <w:w w:val="115"/>
        </w:rPr>
        <w:t>. </w:t>
      </w:r>
      <w:r>
        <w:rPr>
          <w:color w:val="2D2D2D"/>
          <w:w w:val="115"/>
        </w:rPr>
        <w:t>OMS was detected </w:t>
      </w:r>
      <w:r>
        <w:rPr>
          <w:color w:val="3B3B3B"/>
          <w:w w:val="115"/>
        </w:rPr>
        <w:t>in </w:t>
      </w:r>
      <w:r>
        <w:rPr>
          <w:color w:val="2D2D2D"/>
          <w:w w:val="115"/>
        </w:rPr>
        <w:t>most patients shortly after their </w:t>
      </w:r>
      <w:r>
        <w:rPr>
          <w:color w:val="3B3B3B"/>
          <w:w w:val="115"/>
        </w:rPr>
        <w:t>hospital </w:t>
      </w:r>
      <w:r>
        <w:rPr>
          <w:color w:val="2D2D2D"/>
          <w:w w:val="115"/>
        </w:rPr>
        <w:t>discharge; </w:t>
      </w:r>
      <w:r>
        <w:rPr>
          <w:color w:val="3B3B3B"/>
          <w:w w:val="115"/>
        </w:rPr>
        <w:t>in </w:t>
      </w:r>
      <w:r>
        <w:rPr>
          <w:color w:val="2D2D2D"/>
          <w:w w:val="115"/>
        </w:rPr>
        <w:t>82.6% at </w:t>
      </w:r>
      <w:r>
        <w:rPr>
          <w:color w:val="3B3B3B"/>
          <w:w w:val="115"/>
        </w:rPr>
        <w:t>4 </w:t>
      </w:r>
      <w:r>
        <w:rPr>
          <w:color w:val="2D2D2D"/>
          <w:w w:val="115"/>
        </w:rPr>
        <w:t>weeks, </w:t>
      </w:r>
      <w:r>
        <w:rPr>
          <w:color w:val="3B3B3B"/>
          <w:w w:val="115"/>
        </w:rPr>
        <w:t>in </w:t>
      </w:r>
      <w:r>
        <w:rPr>
          <w:color w:val="2D2D2D"/>
          <w:w w:val="115"/>
        </w:rPr>
        <w:t>17.4% at 6 months, and none at 12 months after the </w:t>
      </w:r>
      <w:r>
        <w:rPr>
          <w:color w:val="3B3B3B"/>
          <w:w w:val="115"/>
        </w:rPr>
        <w:t>last </w:t>
      </w:r>
      <w:r>
        <w:rPr>
          <w:color w:val="2D2D2D"/>
          <w:spacing w:val="-7"/>
          <w:w w:val="115"/>
        </w:rPr>
        <w:t>necrosectomy</w:t>
      </w:r>
      <w:r>
        <w:rPr>
          <w:color w:val="080808"/>
          <w:spacing w:val="-7"/>
          <w:w w:val="115"/>
        </w:rPr>
        <w:t>.  </w:t>
      </w:r>
      <w:r>
        <w:rPr>
          <w:color w:val="2D2D2D"/>
          <w:w w:val="115"/>
        </w:rPr>
        <w:t>CAT evidenced  a  higher  frequency</w:t>
      </w:r>
      <w:r>
        <w:rPr>
          <w:color w:val="2D2D2D"/>
          <w:spacing w:val="13"/>
          <w:w w:val="115"/>
        </w:rPr>
        <w:t> </w:t>
      </w:r>
      <w:r>
        <w:rPr>
          <w:color w:val="2D2D2D"/>
          <w:w w:val="115"/>
        </w:rPr>
        <w:t>of</w:t>
      </w:r>
    </w:p>
    <w:p>
      <w:pPr>
        <w:pStyle w:val="BodyText"/>
        <w:spacing w:line="202" w:lineRule="exact"/>
        <w:ind w:left="1534"/>
      </w:pPr>
      <w:r>
        <w:rPr>
          <w:color w:val="2D2D2D"/>
          <w:w w:val="110"/>
        </w:rPr>
        <w:t>DM </w:t>
      </w:r>
      <w:r>
        <w:rPr>
          <w:color w:val="3B3B3B"/>
          <w:w w:val="110"/>
        </w:rPr>
        <w:t>in  </w:t>
      </w:r>
      <w:r>
        <w:rPr>
          <w:color w:val="2D2D2D"/>
          <w:w w:val="110"/>
        </w:rPr>
        <w:t>those patients </w:t>
      </w:r>
      <w:r>
        <w:rPr>
          <w:color w:val="3B3B3B"/>
          <w:w w:val="110"/>
        </w:rPr>
        <w:t>classified  </w:t>
      </w:r>
      <w:r>
        <w:rPr>
          <w:color w:val="2D2D2D"/>
          <w:w w:val="110"/>
        </w:rPr>
        <w:t>with  E </w:t>
      </w:r>
      <w:r>
        <w:rPr>
          <w:color w:val="3B3B3B"/>
          <w:w w:val="110"/>
        </w:rPr>
        <w:t>( </w:t>
      </w:r>
      <w:r>
        <w:rPr>
          <w:color w:val="080808"/>
          <w:w w:val="110"/>
        </w:rPr>
        <w:t>P  </w:t>
      </w:r>
      <w:r>
        <w:rPr>
          <w:rFonts w:ascii="Times New Roman"/>
          <w:color w:val="3B3B3B"/>
          <w:w w:val="110"/>
          <w:sz w:val="19"/>
        </w:rPr>
        <w:t>&lt;  </w:t>
      </w:r>
      <w:r>
        <w:rPr>
          <w:color w:val="2D2D2D"/>
          <w:w w:val="110"/>
        </w:rPr>
        <w:t>0.0001), as well as</w:t>
      </w:r>
      <w:r>
        <w:rPr>
          <w:color w:val="2D2D2D"/>
          <w:spacing w:val="18"/>
          <w:w w:val="110"/>
        </w:rPr>
        <w:t> </w:t>
      </w:r>
      <w:r>
        <w:rPr>
          <w:color w:val="2D2D2D"/>
          <w:w w:val="110"/>
        </w:rPr>
        <w:t>with</w:t>
      </w:r>
    </w:p>
    <w:p>
      <w:pPr>
        <w:pStyle w:val="BodyText"/>
        <w:spacing w:before="13"/>
        <w:ind w:left="1536"/>
      </w:pPr>
      <w:r>
        <w:rPr>
          <w:color w:val="2D2D2D"/>
          <w:w w:val="115"/>
        </w:rPr>
        <w:t>more than 4 debridements, with a P </w:t>
      </w:r>
      <w:r>
        <w:rPr>
          <w:rFonts w:ascii="Times New Roman"/>
          <w:color w:val="3B3B3B"/>
          <w:w w:val="115"/>
          <w:sz w:val="19"/>
        </w:rPr>
        <w:t>&lt; </w:t>
      </w:r>
      <w:r>
        <w:rPr>
          <w:color w:val="2D2D2D"/>
          <w:w w:val="115"/>
        </w:rPr>
        <w:t>0</w:t>
      </w:r>
      <w:r>
        <w:rPr>
          <w:color w:val="080808"/>
          <w:w w:val="115"/>
        </w:rPr>
        <w:t>.</w:t>
      </w:r>
      <w:r>
        <w:rPr>
          <w:color w:val="2D2D2D"/>
          <w:w w:val="115"/>
        </w:rPr>
        <w:t>001.</w:t>
      </w:r>
    </w:p>
    <w:p>
      <w:pPr>
        <w:pStyle w:val="BodyText"/>
        <w:spacing w:line="266" w:lineRule="auto" w:before="110"/>
        <w:ind w:left="1536" w:right="1399" w:hanging="7"/>
      </w:pPr>
      <w:r>
        <w:rPr>
          <w:b/>
          <w:color w:val="080808"/>
          <w:w w:val="110"/>
        </w:rPr>
        <w:t>Conclusions: </w:t>
      </w:r>
      <w:r>
        <w:rPr>
          <w:color w:val="080808"/>
          <w:w w:val="110"/>
        </w:rPr>
        <w:t>P</w:t>
      </w:r>
      <w:r>
        <w:rPr>
          <w:color w:val="3B3B3B"/>
          <w:w w:val="110"/>
        </w:rPr>
        <w:t>revalence </w:t>
      </w:r>
      <w:r>
        <w:rPr>
          <w:color w:val="2D2D2D"/>
          <w:w w:val="110"/>
        </w:rPr>
        <w:t>of OMS </w:t>
      </w:r>
      <w:r>
        <w:rPr>
          <w:color w:val="3B3B3B"/>
          <w:w w:val="110"/>
        </w:rPr>
        <w:t>in</w:t>
      </w:r>
      <w:r>
        <w:rPr>
          <w:color w:val="3B3B3B"/>
          <w:spacing w:val="51"/>
          <w:w w:val="110"/>
        </w:rPr>
        <w:t> </w:t>
      </w:r>
      <w:r>
        <w:rPr>
          <w:color w:val="2D2D2D"/>
          <w:w w:val="110"/>
        </w:rPr>
        <w:t>patients  with  </w:t>
      </w:r>
      <w:r>
        <w:rPr>
          <w:color w:val="3B3B3B"/>
          <w:w w:val="110"/>
        </w:rPr>
        <w:t>infected </w:t>
      </w:r>
      <w:r>
        <w:rPr>
          <w:color w:val="2D2D2D"/>
          <w:w w:val="110"/>
        </w:rPr>
        <w:t>pancreatic necrosis, post</w:t>
      </w:r>
      <w:r>
        <w:rPr>
          <w:color w:val="080808"/>
          <w:w w:val="110"/>
        </w:rPr>
        <w:t>-</w:t>
      </w:r>
      <w:r>
        <w:rPr>
          <w:color w:val="2D2D2D"/>
          <w:w w:val="110"/>
        </w:rPr>
        <w:t>necrosectomy was of 65.7%, and </w:t>
      </w:r>
      <w:r>
        <w:rPr>
          <w:color w:val="3B3B3B"/>
          <w:w w:val="110"/>
        </w:rPr>
        <w:t>it</w:t>
      </w:r>
      <w:r>
        <w:rPr>
          <w:color w:val="3B3B3B"/>
          <w:spacing w:val="51"/>
          <w:w w:val="110"/>
        </w:rPr>
        <w:t> </w:t>
      </w:r>
      <w:r>
        <w:rPr>
          <w:color w:val="3B3B3B"/>
          <w:w w:val="110"/>
        </w:rPr>
        <w:t>is related </w:t>
      </w:r>
      <w:r>
        <w:rPr>
          <w:color w:val="2D2D2D"/>
          <w:w w:val="110"/>
        </w:rPr>
        <w:t>with a Balthazar E score by means of CAT, and with 4  or  more</w:t>
      </w:r>
      <w:r>
        <w:rPr>
          <w:color w:val="2D2D2D"/>
          <w:spacing w:val="-2"/>
          <w:w w:val="110"/>
        </w:rPr>
        <w:t> </w:t>
      </w:r>
      <w:r>
        <w:rPr>
          <w:color w:val="3B3B3B"/>
          <w:w w:val="110"/>
        </w:rPr>
        <w:t>debridements.</w:t>
      </w:r>
    </w:p>
    <w:p>
      <w:pPr>
        <w:pStyle w:val="BodyText"/>
        <w:spacing w:line="271" w:lineRule="auto" w:before="96"/>
        <w:ind w:left="1530" w:right="1406" w:firstLine="4"/>
      </w:pPr>
      <w:r>
        <w:rPr>
          <w:b/>
          <w:color w:val="080808"/>
          <w:w w:val="115"/>
        </w:rPr>
        <w:t>Key words: </w:t>
      </w:r>
      <w:r>
        <w:rPr>
          <w:color w:val="2D2D2D"/>
          <w:w w:val="115"/>
        </w:rPr>
        <w:t>Pancreatitis, necrosectomy, diabetes mellitus, complications</w:t>
      </w:r>
      <w:r>
        <w:rPr>
          <w:color w:val="080808"/>
          <w:w w:val="115"/>
        </w:rPr>
        <w:t>.</w:t>
      </w:r>
    </w:p>
    <w:sectPr>
      <w:type w:val="continuous"/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Arial" w:hAnsi="Arial" w:eastAsia="Arial" w:cs="Arial"/>
      <w:sz w:val="17"/>
      <w:szCs w:val="17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2020-02-20T22:03:30Z</dcterms:created>
  <dcterms:modified xsi:type="dcterms:W3CDTF">2020-02-20T22:03:30Z</dcterms:modified>
</cp:coreProperties>
</file>