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Default Extension="jpeg" ContentType="image/jpe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Title"/>
        <w:spacing w:line="276" w:lineRule="auto"/>
      </w:pPr>
      <w:r>
        <w:rPr/>
        <w:t>An Investigation into the Understanding of Climate</w:t>
      </w:r>
      <w:r>
        <w:rPr>
          <w:spacing w:val="-97"/>
        </w:rPr>
        <w:t> </w:t>
      </w:r>
      <w:r>
        <w:rPr/>
        <w:t>on</w:t>
      </w:r>
      <w:r>
        <w:rPr>
          <w:spacing w:val="-2"/>
        </w:rPr>
        <w:t> </w:t>
      </w:r>
      <w:r>
        <w:rPr/>
        <w:t>Health,</w:t>
      </w:r>
      <w:r>
        <w:rPr>
          <w:spacing w:val="-1"/>
        </w:rPr>
        <w:t> </w:t>
      </w:r>
      <w:r>
        <w:rPr/>
        <w:t>Megacities</w:t>
      </w:r>
      <w:r>
        <w:rPr>
          <w:spacing w:val="-2"/>
        </w:rPr>
        <w:t> </w:t>
      </w:r>
      <w:r>
        <w:rPr/>
        <w:t>and</w:t>
      </w:r>
      <w:r>
        <w:rPr>
          <w:spacing w:val="3"/>
        </w:rPr>
        <w:t> </w:t>
      </w:r>
      <w:r>
        <w:rPr/>
        <w:t>Urban</w:t>
      </w:r>
      <w:r>
        <w:rPr>
          <w:spacing w:val="-1"/>
        </w:rPr>
        <w:t> </w:t>
      </w:r>
      <w:r>
        <w:rPr/>
        <w:t>Poverty:</w:t>
      </w:r>
    </w:p>
    <w:p>
      <w:pPr>
        <w:pStyle w:val="Title"/>
        <w:spacing w:line="276" w:lineRule="auto" w:before="199"/>
        <w:ind w:left="515" w:right="414"/>
      </w:pPr>
      <w:r>
        <w:rPr/>
        <w:t>Strategic Frameworks for Disaster Resilience and</w:t>
      </w:r>
      <w:r>
        <w:rPr>
          <w:spacing w:val="-97"/>
        </w:rPr>
        <w:t> </w:t>
      </w:r>
      <w:r>
        <w:rPr/>
        <w:t>Prognosis</w:t>
      </w:r>
      <w:r>
        <w:rPr>
          <w:spacing w:val="-2"/>
        </w:rPr>
        <w:t> </w:t>
      </w:r>
      <w:r>
        <w:rPr/>
        <w:t>for Change</w:t>
      </w:r>
    </w:p>
    <w:p>
      <w:pPr>
        <w:pStyle w:val="BodyText"/>
        <w:spacing w:before="6"/>
        <w:ind w:left="0"/>
        <w:rPr>
          <w:rFonts w:ascii="Calibri"/>
          <w:b/>
          <w:sz w:val="64"/>
        </w:rPr>
      </w:pPr>
    </w:p>
    <w:p>
      <w:pPr>
        <w:pStyle w:val="Heading2"/>
        <w:rPr>
          <w:rFonts w:ascii="Segoe UI"/>
        </w:rPr>
      </w:pPr>
      <w:r>
        <w:rPr>
          <w:rFonts w:ascii="Segoe UI"/>
          <w:color w:val="1F1F1E"/>
        </w:rPr>
        <w:t>Introduction</w:t>
      </w:r>
    </w:p>
    <w:p>
      <w:pPr>
        <w:pStyle w:val="BodyText"/>
        <w:spacing w:before="9"/>
        <w:ind w:left="0"/>
        <w:rPr>
          <w:rFonts w:ascii="Segoe UI"/>
          <w:b/>
          <w:sz w:val="44"/>
        </w:rPr>
      </w:pPr>
    </w:p>
    <w:p>
      <w:pPr>
        <w:spacing w:line="480" w:lineRule="auto" w:before="1"/>
        <w:ind w:left="220" w:right="149" w:firstLine="0"/>
        <w:jc w:val="left"/>
        <w:rPr>
          <w:rFonts w:ascii="Georgia" w:hAnsi="Georgia"/>
          <w:sz w:val="23"/>
        </w:rPr>
      </w:pPr>
      <w:r>
        <w:rPr>
          <w:sz w:val="24"/>
        </w:rPr>
        <w:t>Climate change impacts on human health are particularly inequitable. Climate has impacted our</w:t>
      </w:r>
      <w:r>
        <w:rPr>
          <w:spacing w:val="1"/>
          <w:sz w:val="24"/>
        </w:rPr>
        <w:t> </w:t>
      </w:r>
      <w:r>
        <w:rPr>
          <w:sz w:val="24"/>
        </w:rPr>
        <w:t>health for thousands of years and the increased acknowledgment of climate change and its</w:t>
      </w:r>
      <w:r>
        <w:rPr>
          <w:spacing w:val="1"/>
          <w:sz w:val="24"/>
        </w:rPr>
        <w:t> </w:t>
      </w:r>
      <w:r>
        <w:rPr>
          <w:sz w:val="24"/>
        </w:rPr>
        <w:t>consequences creates a growing interest in how climate affects health. As </w:t>
      </w:r>
      <w:r>
        <w:rPr>
          <w:rFonts w:ascii="Georgia" w:hAnsi="Georgia"/>
          <w:sz w:val="23"/>
        </w:rPr>
        <w:t>urbanization becomes</w:t>
      </w:r>
      <w:r>
        <w:rPr>
          <w:rFonts w:ascii="Georgia" w:hAnsi="Georgia"/>
          <w:spacing w:val="1"/>
          <w:sz w:val="23"/>
        </w:rPr>
        <w:t> </w:t>
      </w:r>
      <w:r>
        <w:rPr>
          <w:rFonts w:ascii="Georgia" w:hAnsi="Georgia"/>
          <w:sz w:val="23"/>
        </w:rPr>
        <w:t>the second</w:t>
      </w:r>
      <w:r>
        <w:rPr>
          <w:rFonts w:ascii="Georgia" w:hAnsi="Georgia"/>
          <w:spacing w:val="1"/>
          <w:sz w:val="23"/>
        </w:rPr>
        <w:t> </w:t>
      </w:r>
      <w:r>
        <w:rPr>
          <w:rFonts w:ascii="Georgia" w:hAnsi="Georgia"/>
          <w:sz w:val="23"/>
        </w:rPr>
        <w:t>largest</w:t>
      </w:r>
      <w:r>
        <w:rPr>
          <w:rFonts w:ascii="Georgia" w:hAnsi="Georgia"/>
          <w:spacing w:val="1"/>
          <w:sz w:val="23"/>
        </w:rPr>
        <w:t> </w:t>
      </w:r>
      <w:r>
        <w:rPr>
          <w:rFonts w:ascii="Georgia" w:hAnsi="Georgia"/>
          <w:sz w:val="23"/>
        </w:rPr>
        <w:t>mega-trend</w:t>
      </w:r>
      <w:r>
        <w:rPr>
          <w:rFonts w:ascii="Georgia" w:hAnsi="Georgia"/>
          <w:spacing w:val="2"/>
          <w:sz w:val="23"/>
        </w:rPr>
        <w:t> </w:t>
      </w:r>
      <w:r>
        <w:rPr>
          <w:rFonts w:ascii="Georgia" w:hAnsi="Georgia"/>
          <w:sz w:val="23"/>
        </w:rPr>
        <w:t>right</w:t>
      </w:r>
      <w:r>
        <w:rPr>
          <w:rFonts w:ascii="Georgia" w:hAnsi="Georgia"/>
          <w:spacing w:val="2"/>
          <w:sz w:val="23"/>
        </w:rPr>
        <w:t> </w:t>
      </w:r>
      <w:r>
        <w:rPr>
          <w:rFonts w:ascii="Georgia" w:hAnsi="Georgia"/>
          <w:sz w:val="23"/>
        </w:rPr>
        <w:t>after climate</w:t>
      </w:r>
      <w:r>
        <w:rPr>
          <w:rFonts w:ascii="Georgia" w:hAnsi="Georgia"/>
          <w:spacing w:val="1"/>
          <w:sz w:val="23"/>
        </w:rPr>
        <w:t> </w:t>
      </w:r>
      <w:r>
        <w:rPr>
          <w:rFonts w:ascii="Georgia" w:hAnsi="Georgia"/>
          <w:sz w:val="23"/>
        </w:rPr>
        <w:t>change</w:t>
      </w:r>
      <w:r>
        <w:rPr>
          <w:rFonts w:ascii="Georgia" w:hAnsi="Georgia"/>
          <w:spacing w:val="1"/>
          <w:sz w:val="23"/>
        </w:rPr>
        <w:t> </w:t>
      </w:r>
      <w:r>
        <w:rPr>
          <w:rFonts w:ascii="Georgia" w:hAnsi="Georgia"/>
          <w:sz w:val="23"/>
        </w:rPr>
        <w:t>(Zhu,</w:t>
      </w:r>
      <w:r>
        <w:rPr>
          <w:rFonts w:ascii="Georgia" w:hAnsi="Georgia"/>
          <w:spacing w:val="2"/>
          <w:sz w:val="23"/>
        </w:rPr>
        <w:t> </w:t>
      </w:r>
      <w:r>
        <w:rPr>
          <w:rFonts w:ascii="Georgia" w:hAnsi="Georgia"/>
          <w:sz w:val="23"/>
        </w:rPr>
        <w:t>et</w:t>
      </w:r>
      <w:r>
        <w:rPr>
          <w:rFonts w:ascii="Georgia" w:hAnsi="Georgia"/>
          <w:spacing w:val="1"/>
          <w:sz w:val="23"/>
        </w:rPr>
        <w:t> </w:t>
      </w:r>
      <w:r>
        <w:rPr>
          <w:rFonts w:ascii="Georgia" w:hAnsi="Georgia"/>
          <w:sz w:val="23"/>
        </w:rPr>
        <w:t>al.,</w:t>
      </w:r>
      <w:r>
        <w:rPr>
          <w:rFonts w:ascii="Georgia" w:hAnsi="Georgia"/>
          <w:spacing w:val="1"/>
          <w:sz w:val="23"/>
        </w:rPr>
        <w:t> </w:t>
      </w:r>
      <w:r>
        <w:rPr>
          <w:rFonts w:ascii="Georgia" w:hAnsi="Georgia"/>
          <w:sz w:val="23"/>
        </w:rPr>
        <w:t>2022),</w:t>
      </w:r>
      <w:r>
        <w:rPr>
          <w:rFonts w:ascii="Georgia" w:hAnsi="Georgia"/>
          <w:spacing w:val="2"/>
          <w:sz w:val="23"/>
        </w:rPr>
        <w:t> </w:t>
      </w:r>
      <w:r>
        <w:rPr>
          <w:sz w:val="24"/>
        </w:rPr>
        <w:t>the</w:t>
      </w:r>
      <w:r>
        <w:rPr>
          <w:spacing w:val="1"/>
          <w:sz w:val="24"/>
        </w:rPr>
        <w:t> </w:t>
      </w:r>
      <w:r>
        <w:rPr>
          <w:sz w:val="24"/>
        </w:rPr>
        <w:t>range</w:t>
      </w:r>
      <w:r>
        <w:rPr>
          <w:spacing w:val="1"/>
          <w:sz w:val="24"/>
        </w:rPr>
        <w:t> </w:t>
      </w:r>
      <w:r>
        <w:rPr>
          <w:sz w:val="24"/>
        </w:rPr>
        <w:t>of</w:t>
      </w:r>
      <w:r>
        <w:rPr>
          <w:spacing w:val="1"/>
          <w:sz w:val="24"/>
        </w:rPr>
        <w:t> </w:t>
      </w:r>
      <w:r>
        <w:rPr>
          <w:sz w:val="24"/>
        </w:rPr>
        <w:t>health effects are influenced by several factors, such as population growth, migration, urban</w:t>
      </w:r>
      <w:r>
        <w:rPr>
          <w:spacing w:val="1"/>
          <w:sz w:val="24"/>
        </w:rPr>
        <w:t> </w:t>
      </w:r>
      <w:r>
        <w:rPr>
          <w:sz w:val="24"/>
        </w:rPr>
        <w:t>development,</w:t>
      </w:r>
      <w:r>
        <w:rPr>
          <w:spacing w:val="-1"/>
          <w:sz w:val="24"/>
        </w:rPr>
        <w:t> </w:t>
      </w:r>
      <w:r>
        <w:rPr>
          <w:sz w:val="24"/>
        </w:rPr>
        <w:t>land</w:t>
      </w:r>
      <w:r>
        <w:rPr>
          <w:spacing w:val="-1"/>
          <w:sz w:val="24"/>
        </w:rPr>
        <w:t> </w:t>
      </w:r>
      <w:r>
        <w:rPr>
          <w:sz w:val="24"/>
        </w:rPr>
        <w:t>use</w:t>
      </w:r>
      <w:r>
        <w:rPr>
          <w:spacing w:val="-3"/>
          <w:sz w:val="24"/>
        </w:rPr>
        <w:t> </w:t>
      </w:r>
      <w:r>
        <w:rPr>
          <w:sz w:val="24"/>
        </w:rPr>
        <w:t>reduction,</w:t>
      </w:r>
      <w:r>
        <w:rPr>
          <w:spacing w:val="-1"/>
          <w:sz w:val="24"/>
        </w:rPr>
        <w:t> </w:t>
      </w:r>
      <w:r>
        <w:rPr>
          <w:sz w:val="24"/>
        </w:rPr>
        <w:t>food</w:t>
      </w:r>
      <w:r>
        <w:rPr>
          <w:spacing w:val="-1"/>
          <w:sz w:val="24"/>
        </w:rPr>
        <w:t> </w:t>
      </w:r>
      <w:r>
        <w:rPr>
          <w:sz w:val="24"/>
        </w:rPr>
        <w:t>systems,</w:t>
      </w:r>
      <w:r>
        <w:rPr>
          <w:spacing w:val="-1"/>
          <w:sz w:val="24"/>
        </w:rPr>
        <w:t> </w:t>
      </w:r>
      <w:r>
        <w:rPr>
          <w:sz w:val="24"/>
        </w:rPr>
        <w:t>and</w:t>
      </w:r>
      <w:r>
        <w:rPr>
          <w:spacing w:val="-1"/>
          <w:sz w:val="24"/>
        </w:rPr>
        <w:t> </w:t>
      </w:r>
      <w:r>
        <w:rPr>
          <w:sz w:val="24"/>
        </w:rPr>
        <w:t>fresh water</w:t>
      </w:r>
      <w:r>
        <w:rPr>
          <w:spacing w:val="-3"/>
          <w:sz w:val="24"/>
        </w:rPr>
        <w:t> </w:t>
      </w:r>
      <w:r>
        <w:rPr>
          <w:sz w:val="24"/>
        </w:rPr>
        <w:t>resources.</w:t>
      </w:r>
      <w:r>
        <w:rPr>
          <w:spacing w:val="1"/>
          <w:sz w:val="24"/>
        </w:rPr>
        <w:t> </w:t>
      </w:r>
      <w:r>
        <w:rPr>
          <w:sz w:val="24"/>
        </w:rPr>
        <w:t>All</w:t>
      </w:r>
      <w:r>
        <w:rPr>
          <w:spacing w:val="-1"/>
          <w:sz w:val="24"/>
        </w:rPr>
        <w:t> </w:t>
      </w:r>
      <w:r>
        <w:rPr>
          <w:sz w:val="24"/>
        </w:rPr>
        <w:t>these</w:t>
      </w:r>
      <w:r>
        <w:rPr>
          <w:spacing w:val="-2"/>
          <w:sz w:val="24"/>
        </w:rPr>
        <w:t> </w:t>
      </w:r>
      <w:r>
        <w:rPr>
          <w:sz w:val="24"/>
        </w:rPr>
        <w:t>elements</w:t>
      </w:r>
      <w:r>
        <w:rPr>
          <w:spacing w:val="-1"/>
          <w:sz w:val="24"/>
        </w:rPr>
        <w:t> </w:t>
      </w:r>
      <w:r>
        <w:rPr>
          <w:sz w:val="24"/>
        </w:rPr>
        <w:t>have</w:t>
      </w:r>
      <w:r>
        <w:rPr>
          <w:spacing w:val="-57"/>
          <w:sz w:val="24"/>
        </w:rPr>
        <w:t> </w:t>
      </w:r>
      <w:r>
        <w:rPr>
          <w:sz w:val="24"/>
        </w:rPr>
        <w:t>connotations for the population’s health and exacerbate the impacts of climate change events</w:t>
      </w:r>
      <w:r>
        <w:rPr>
          <w:spacing w:val="1"/>
          <w:sz w:val="24"/>
        </w:rPr>
        <w:t> </w:t>
      </w:r>
      <w:r>
        <w:rPr>
          <w:sz w:val="24"/>
        </w:rPr>
        <w:t>(Haines, 2006). The importance of the consequences of climate change impacts on health is</w:t>
      </w:r>
      <w:r>
        <w:rPr>
          <w:spacing w:val="1"/>
          <w:sz w:val="24"/>
        </w:rPr>
        <w:t> </w:t>
      </w:r>
      <w:r>
        <w:rPr>
          <w:sz w:val="24"/>
        </w:rPr>
        <w:t>highlighted by the urgency and severity of this threat (Marolla, 2016).</w:t>
      </w:r>
      <w:r>
        <w:rPr>
          <w:spacing w:val="1"/>
          <w:sz w:val="24"/>
        </w:rPr>
        <w:t> </w:t>
      </w:r>
      <w:r>
        <w:rPr>
          <w:rFonts w:ascii="Georgia" w:hAnsi="Georgia"/>
          <w:sz w:val="23"/>
        </w:rPr>
        <w:t>Most of the research has</w:t>
      </w:r>
      <w:r>
        <w:rPr>
          <w:rFonts w:ascii="Georgia" w:hAnsi="Georgia"/>
          <w:spacing w:val="1"/>
          <w:sz w:val="23"/>
        </w:rPr>
        <w:t> </w:t>
      </w:r>
      <w:r>
        <w:rPr>
          <w:rFonts w:ascii="Georgia" w:hAnsi="Georgia"/>
          <w:sz w:val="23"/>
        </w:rPr>
        <w:t>been devoted to improving the understanding of climate information and assessing disaster</w:t>
      </w:r>
      <w:r>
        <w:rPr>
          <w:rFonts w:ascii="Georgia" w:hAnsi="Georgia"/>
          <w:spacing w:val="1"/>
          <w:sz w:val="23"/>
        </w:rPr>
        <w:t> </w:t>
      </w:r>
      <w:r>
        <w:rPr>
          <w:rFonts w:ascii="Georgia" w:hAnsi="Georgia"/>
          <w:sz w:val="23"/>
        </w:rPr>
        <w:t>data,</w:t>
      </w:r>
      <w:r>
        <w:rPr>
          <w:rFonts w:ascii="Georgia" w:hAnsi="Georgia"/>
          <w:spacing w:val="-2"/>
          <w:sz w:val="23"/>
        </w:rPr>
        <w:t> </w:t>
      </w:r>
      <w:r>
        <w:rPr>
          <w:rFonts w:ascii="Georgia" w:hAnsi="Georgia"/>
          <w:sz w:val="23"/>
        </w:rPr>
        <w:t>including</w:t>
      </w:r>
      <w:r>
        <w:rPr>
          <w:rFonts w:ascii="Georgia" w:hAnsi="Georgia"/>
          <w:spacing w:val="-1"/>
          <w:sz w:val="23"/>
        </w:rPr>
        <w:t> </w:t>
      </w:r>
      <w:r>
        <w:rPr>
          <w:rFonts w:ascii="Georgia" w:hAnsi="Georgia"/>
          <w:sz w:val="23"/>
        </w:rPr>
        <w:t>exposure</w:t>
      </w:r>
      <w:r>
        <w:rPr>
          <w:rFonts w:ascii="Georgia" w:hAnsi="Georgia"/>
          <w:spacing w:val="-3"/>
          <w:sz w:val="23"/>
        </w:rPr>
        <w:t> </w:t>
      </w:r>
      <w:r>
        <w:rPr>
          <w:rFonts w:ascii="Georgia" w:hAnsi="Georgia"/>
          <w:sz w:val="23"/>
        </w:rPr>
        <w:t>to</w:t>
      </w:r>
      <w:r>
        <w:rPr>
          <w:rFonts w:ascii="Georgia" w:hAnsi="Georgia"/>
          <w:spacing w:val="-2"/>
          <w:sz w:val="23"/>
        </w:rPr>
        <w:t> </w:t>
      </w:r>
      <w:r>
        <w:rPr>
          <w:rFonts w:ascii="Georgia" w:hAnsi="Georgia"/>
          <w:sz w:val="23"/>
        </w:rPr>
        <w:t>specific</w:t>
      </w:r>
      <w:r>
        <w:rPr>
          <w:rFonts w:ascii="Georgia" w:hAnsi="Georgia"/>
          <w:spacing w:val="-3"/>
          <w:sz w:val="23"/>
        </w:rPr>
        <w:t> </w:t>
      </w:r>
      <w:r>
        <w:rPr>
          <w:rFonts w:ascii="Georgia" w:hAnsi="Georgia"/>
          <w:sz w:val="23"/>
        </w:rPr>
        <w:t>phenomena,</w:t>
      </w:r>
      <w:r>
        <w:rPr>
          <w:rFonts w:ascii="Georgia" w:hAnsi="Georgia"/>
          <w:spacing w:val="-1"/>
          <w:sz w:val="23"/>
        </w:rPr>
        <w:t> </w:t>
      </w:r>
      <w:r>
        <w:rPr>
          <w:rFonts w:ascii="Georgia" w:hAnsi="Georgia"/>
          <w:sz w:val="23"/>
        </w:rPr>
        <w:t>such</w:t>
      </w:r>
      <w:r>
        <w:rPr>
          <w:rFonts w:ascii="Georgia" w:hAnsi="Georgia"/>
          <w:spacing w:val="-2"/>
          <w:sz w:val="23"/>
        </w:rPr>
        <w:t> </w:t>
      </w:r>
      <w:r>
        <w:rPr>
          <w:rFonts w:ascii="Georgia" w:hAnsi="Georgia"/>
          <w:sz w:val="23"/>
        </w:rPr>
        <w:t>as</w:t>
      </w:r>
      <w:r>
        <w:rPr>
          <w:rFonts w:ascii="Georgia" w:hAnsi="Georgia"/>
          <w:spacing w:val="-3"/>
          <w:sz w:val="23"/>
        </w:rPr>
        <w:t> </w:t>
      </w:r>
      <w:r>
        <w:rPr>
          <w:rFonts w:ascii="Georgia" w:hAnsi="Georgia"/>
          <w:sz w:val="23"/>
        </w:rPr>
        <w:t>heat-waves</w:t>
      </w:r>
      <w:r>
        <w:rPr>
          <w:rFonts w:ascii="Georgia" w:hAnsi="Georgia"/>
          <w:spacing w:val="-4"/>
          <w:sz w:val="23"/>
        </w:rPr>
        <w:t> </w:t>
      </w:r>
      <w:r>
        <w:rPr>
          <w:rFonts w:ascii="Georgia" w:hAnsi="Georgia"/>
          <w:sz w:val="23"/>
        </w:rPr>
        <w:t>or</w:t>
      </w:r>
      <w:r>
        <w:rPr>
          <w:rFonts w:ascii="Georgia" w:hAnsi="Georgia"/>
          <w:spacing w:val="2"/>
          <w:sz w:val="23"/>
        </w:rPr>
        <w:t> </w:t>
      </w:r>
      <w:r>
        <w:rPr>
          <w:rFonts w:ascii="Georgia" w:hAnsi="Georgia"/>
          <w:sz w:val="23"/>
        </w:rPr>
        <w:t>sea-level</w:t>
      </w:r>
      <w:r>
        <w:rPr>
          <w:rFonts w:ascii="Georgia" w:hAnsi="Georgia"/>
          <w:spacing w:val="-4"/>
          <w:sz w:val="23"/>
        </w:rPr>
        <w:t> </w:t>
      </w:r>
      <w:r>
        <w:rPr>
          <w:rFonts w:ascii="Georgia" w:hAnsi="Georgia"/>
          <w:sz w:val="23"/>
        </w:rPr>
        <w:t>rise.</w:t>
      </w:r>
    </w:p>
    <w:p>
      <w:pPr>
        <w:spacing w:line="480" w:lineRule="auto" w:before="5"/>
        <w:ind w:left="220" w:right="130" w:firstLine="0"/>
        <w:jc w:val="left"/>
        <w:rPr>
          <w:sz w:val="24"/>
        </w:rPr>
      </w:pPr>
      <w:r>
        <w:rPr>
          <w:rFonts w:ascii="Georgia"/>
          <w:sz w:val="23"/>
        </w:rPr>
        <w:t>Although research on climate change and vulnerability has made significant progress over the</w:t>
      </w:r>
      <w:r>
        <w:rPr>
          <w:rFonts w:ascii="Georgia"/>
          <w:spacing w:val="-53"/>
          <w:sz w:val="23"/>
        </w:rPr>
        <w:t> </w:t>
      </w:r>
      <w:r>
        <w:rPr>
          <w:rFonts w:ascii="Georgia"/>
          <w:sz w:val="23"/>
        </w:rPr>
        <w:t>last decades, the assessment of vulnerability and the intertwined between social, economic</w:t>
      </w:r>
      <w:r>
        <w:rPr>
          <w:rFonts w:ascii="Georgia"/>
          <w:spacing w:val="1"/>
          <w:sz w:val="23"/>
        </w:rPr>
        <w:t> </w:t>
      </w:r>
      <w:r>
        <w:rPr>
          <w:rFonts w:ascii="Georgia"/>
          <w:sz w:val="23"/>
        </w:rPr>
        <w:t>and</w:t>
      </w:r>
      <w:r>
        <w:rPr>
          <w:rFonts w:ascii="Georgia"/>
          <w:spacing w:val="1"/>
          <w:sz w:val="23"/>
        </w:rPr>
        <w:t> </w:t>
      </w:r>
      <w:r>
        <w:rPr>
          <w:rFonts w:ascii="Georgia"/>
          <w:sz w:val="23"/>
        </w:rPr>
        <w:t>historical</w:t>
      </w:r>
      <w:r>
        <w:rPr>
          <w:rFonts w:ascii="Georgia"/>
          <w:spacing w:val="-1"/>
          <w:sz w:val="23"/>
        </w:rPr>
        <w:t> </w:t>
      </w:r>
      <w:r>
        <w:rPr>
          <w:rFonts w:ascii="Georgia"/>
          <w:sz w:val="23"/>
        </w:rPr>
        <w:t>conditions in</w:t>
      </w:r>
      <w:r>
        <w:rPr>
          <w:rFonts w:ascii="Georgia"/>
          <w:spacing w:val="1"/>
          <w:sz w:val="23"/>
        </w:rPr>
        <w:t> </w:t>
      </w:r>
      <w:r>
        <w:rPr>
          <w:rFonts w:ascii="Georgia"/>
          <w:sz w:val="23"/>
        </w:rPr>
        <w:t>addition to public</w:t>
      </w:r>
      <w:r>
        <w:rPr>
          <w:rFonts w:ascii="Georgia"/>
          <w:spacing w:val="1"/>
          <w:sz w:val="23"/>
        </w:rPr>
        <w:t> </w:t>
      </w:r>
      <w:r>
        <w:rPr>
          <w:rFonts w:ascii="Georgia"/>
          <w:sz w:val="23"/>
        </w:rPr>
        <w:t>health risks</w:t>
      </w:r>
      <w:r>
        <w:rPr>
          <w:rFonts w:ascii="Georgia"/>
          <w:spacing w:val="56"/>
          <w:sz w:val="23"/>
        </w:rPr>
        <w:t> </w:t>
      </w:r>
      <w:r>
        <w:rPr>
          <w:rFonts w:ascii="Georgia"/>
          <w:sz w:val="23"/>
        </w:rPr>
        <w:t>that foster vulnerability of</w:t>
      </w:r>
      <w:r>
        <w:rPr>
          <w:rFonts w:ascii="Georgia"/>
          <w:spacing w:val="1"/>
          <w:sz w:val="23"/>
        </w:rPr>
        <w:t> </w:t>
      </w:r>
      <w:r>
        <w:rPr>
          <w:rFonts w:ascii="Georgia"/>
          <w:sz w:val="23"/>
        </w:rPr>
        <w:t>societies</w:t>
      </w:r>
      <w:r>
        <w:rPr>
          <w:rFonts w:ascii="Georgia"/>
          <w:spacing w:val="-3"/>
          <w:sz w:val="23"/>
        </w:rPr>
        <w:t> </w:t>
      </w:r>
      <w:r>
        <w:rPr>
          <w:rFonts w:ascii="Georgia"/>
          <w:sz w:val="23"/>
        </w:rPr>
        <w:t>had</w:t>
      </w:r>
      <w:r>
        <w:rPr>
          <w:rFonts w:ascii="Georgia"/>
          <w:spacing w:val="1"/>
          <w:sz w:val="23"/>
        </w:rPr>
        <w:t> </w:t>
      </w:r>
      <w:r>
        <w:rPr>
          <w:rFonts w:ascii="Georgia"/>
          <w:sz w:val="23"/>
        </w:rPr>
        <w:t>received</w:t>
      </w:r>
      <w:r>
        <w:rPr>
          <w:rFonts w:ascii="Georgia"/>
          <w:spacing w:val="-1"/>
          <w:sz w:val="23"/>
        </w:rPr>
        <w:t> </w:t>
      </w:r>
      <w:r>
        <w:rPr>
          <w:rFonts w:ascii="Georgia"/>
          <w:sz w:val="23"/>
        </w:rPr>
        <w:t>lesser </w:t>
      </w:r>
      <w:r>
        <w:rPr>
          <w:sz w:val="24"/>
        </w:rPr>
        <w:t>interest</w:t>
      </w:r>
      <w:r>
        <w:rPr>
          <w:spacing w:val="1"/>
          <w:sz w:val="24"/>
        </w:rPr>
        <w:t> </w:t>
      </w:r>
      <w:r>
        <w:rPr>
          <w:sz w:val="24"/>
        </w:rPr>
        <w:t>(Birkmann,</w:t>
      </w:r>
      <w:r>
        <w:rPr>
          <w:spacing w:val="2"/>
          <w:sz w:val="24"/>
        </w:rPr>
        <w:t> </w:t>
      </w:r>
      <w:r>
        <w:rPr>
          <w:sz w:val="24"/>
        </w:rPr>
        <w:t>et al.,</w:t>
      </w:r>
      <w:r>
        <w:rPr>
          <w:spacing w:val="-1"/>
          <w:sz w:val="24"/>
        </w:rPr>
        <w:t> </w:t>
      </w:r>
      <w:r>
        <w:rPr>
          <w:sz w:val="24"/>
        </w:rPr>
        <w:t>2022).</w:t>
      </w:r>
    </w:p>
    <w:p>
      <w:pPr>
        <w:pStyle w:val="BodyText"/>
        <w:spacing w:before="10"/>
        <w:ind w:left="0"/>
        <w:rPr>
          <w:sz w:val="23"/>
        </w:rPr>
      </w:pPr>
    </w:p>
    <w:p>
      <w:pPr>
        <w:pStyle w:val="BodyText"/>
        <w:spacing w:line="482" w:lineRule="auto"/>
        <w:ind w:right="522"/>
      </w:pPr>
      <w:r>
        <w:rPr/>
        <w:t>First</w:t>
      </w:r>
      <w:r>
        <w:rPr>
          <w:spacing w:val="-1"/>
        </w:rPr>
        <w:t> </w:t>
      </w:r>
      <w:r>
        <w:rPr/>
        <w:t>and</w:t>
      </w:r>
      <w:r>
        <w:rPr>
          <w:spacing w:val="-2"/>
        </w:rPr>
        <w:t> </w:t>
      </w:r>
      <w:r>
        <w:rPr/>
        <w:t>most</w:t>
      </w:r>
      <w:r>
        <w:rPr>
          <w:spacing w:val="-1"/>
        </w:rPr>
        <w:t> </w:t>
      </w:r>
      <w:r>
        <w:rPr/>
        <w:t>importantly,</w:t>
      </w:r>
      <w:r>
        <w:rPr>
          <w:spacing w:val="1"/>
        </w:rPr>
        <w:t> </w:t>
      </w:r>
      <w:r>
        <w:rPr/>
        <w:t>the</w:t>
      </w:r>
      <w:r>
        <w:rPr>
          <w:spacing w:val="-1"/>
        </w:rPr>
        <w:t> </w:t>
      </w:r>
      <w:r>
        <w:rPr/>
        <w:t>poorest</w:t>
      </w:r>
      <w:r>
        <w:rPr>
          <w:spacing w:val="-1"/>
        </w:rPr>
        <w:t> </w:t>
      </w:r>
      <w:r>
        <w:rPr/>
        <w:t>people</w:t>
      </w:r>
      <w:r>
        <w:rPr>
          <w:spacing w:val="-1"/>
        </w:rPr>
        <w:t> </w:t>
      </w:r>
      <w:r>
        <w:rPr/>
        <w:t>in</w:t>
      </w:r>
      <w:r>
        <w:rPr>
          <w:spacing w:val="-1"/>
        </w:rPr>
        <w:t> </w:t>
      </w:r>
      <w:r>
        <w:rPr/>
        <w:t>the</w:t>
      </w:r>
      <w:r>
        <w:rPr>
          <w:spacing w:val="-2"/>
        </w:rPr>
        <w:t> </w:t>
      </w:r>
      <w:r>
        <w:rPr/>
        <w:t>world</w:t>
      </w:r>
      <w:r>
        <w:rPr>
          <w:spacing w:val="-1"/>
        </w:rPr>
        <w:t> </w:t>
      </w:r>
      <w:r>
        <w:rPr/>
        <w:t>will</w:t>
      </w:r>
      <w:r>
        <w:rPr>
          <w:spacing w:val="-1"/>
        </w:rPr>
        <w:t> </w:t>
      </w:r>
      <w:r>
        <w:rPr/>
        <w:t>suffer</w:t>
      </w:r>
      <w:r>
        <w:rPr>
          <w:spacing w:val="-1"/>
        </w:rPr>
        <w:t> </w:t>
      </w:r>
      <w:r>
        <w:rPr/>
        <w:t>the</w:t>
      </w:r>
      <w:r>
        <w:rPr>
          <w:spacing w:val="-1"/>
        </w:rPr>
        <w:t> </w:t>
      </w:r>
      <w:r>
        <w:rPr/>
        <w:t>worst</w:t>
      </w:r>
      <w:r>
        <w:rPr>
          <w:spacing w:val="-1"/>
        </w:rPr>
        <w:t> </w:t>
      </w:r>
      <w:r>
        <w:rPr/>
        <w:t>consequences.</w:t>
      </w:r>
      <w:r>
        <w:rPr>
          <w:spacing w:val="-57"/>
        </w:rPr>
        <w:t> </w:t>
      </w:r>
      <w:r>
        <w:rPr/>
        <w:t>Furthermore,</w:t>
      </w:r>
      <w:r>
        <w:rPr>
          <w:spacing w:val="-2"/>
        </w:rPr>
        <w:t> </w:t>
      </w:r>
      <w:r>
        <w:rPr/>
        <w:t>the</w:t>
      </w:r>
      <w:r>
        <w:rPr>
          <w:spacing w:val="-1"/>
        </w:rPr>
        <w:t> </w:t>
      </w:r>
      <w:r>
        <w:rPr/>
        <w:t>rural</w:t>
      </w:r>
      <w:r>
        <w:rPr>
          <w:spacing w:val="-1"/>
        </w:rPr>
        <w:t> </w:t>
      </w:r>
      <w:r>
        <w:rPr/>
        <w:t>population’s</w:t>
      </w:r>
      <w:r>
        <w:rPr>
          <w:spacing w:val="-1"/>
        </w:rPr>
        <w:t> </w:t>
      </w:r>
      <w:r>
        <w:rPr/>
        <w:t>migration</w:t>
      </w:r>
      <w:r>
        <w:rPr>
          <w:spacing w:val="-1"/>
        </w:rPr>
        <w:t> </w:t>
      </w:r>
      <w:r>
        <w:rPr/>
        <w:t>to</w:t>
      </w:r>
      <w:r>
        <w:rPr>
          <w:spacing w:val="-2"/>
        </w:rPr>
        <w:t> </w:t>
      </w:r>
      <w:r>
        <w:rPr/>
        <w:t>major</w:t>
      </w:r>
      <w:r>
        <w:rPr>
          <w:spacing w:val="-1"/>
        </w:rPr>
        <w:t> </w:t>
      </w:r>
      <w:r>
        <w:rPr/>
        <w:t>cities</w:t>
      </w:r>
      <w:r>
        <w:rPr>
          <w:spacing w:val="-1"/>
        </w:rPr>
        <w:t> </w:t>
      </w:r>
      <w:r>
        <w:rPr/>
        <w:t>creates</w:t>
      </w:r>
      <w:r>
        <w:rPr>
          <w:spacing w:val="-1"/>
        </w:rPr>
        <w:t> </w:t>
      </w:r>
      <w:r>
        <w:rPr/>
        <w:t>a</w:t>
      </w:r>
      <w:r>
        <w:rPr>
          <w:spacing w:val="-3"/>
        </w:rPr>
        <w:t> </w:t>
      </w:r>
      <w:r>
        <w:rPr/>
        <w:t>steady</w:t>
      </w:r>
      <w:r>
        <w:rPr>
          <w:spacing w:val="-4"/>
        </w:rPr>
        <w:t> </w:t>
      </w:r>
      <w:r>
        <w:rPr/>
        <w:t>growth</w:t>
      </w:r>
      <w:r>
        <w:rPr>
          <w:spacing w:val="-2"/>
        </w:rPr>
        <w:t> </w:t>
      </w:r>
      <w:r>
        <w:rPr/>
        <w:t>in</w:t>
      </w:r>
      <w:r>
        <w:rPr>
          <w:spacing w:val="-2"/>
        </w:rPr>
        <w:t> </w:t>
      </w:r>
      <w:r>
        <w:rPr/>
        <w:t>urban</w:t>
      </w:r>
    </w:p>
    <w:p>
      <w:pPr>
        <w:spacing w:after="0" w:line="482" w:lineRule="auto"/>
        <w:sectPr>
          <w:type w:val="continuous"/>
          <w:pgSz w:w="12240" w:h="15840"/>
          <w:pgMar w:top="1420" w:bottom="280" w:left="1220" w:right="1180"/>
        </w:sectPr>
      </w:pPr>
    </w:p>
    <w:p>
      <w:pPr>
        <w:pStyle w:val="BodyText"/>
        <w:spacing w:line="480" w:lineRule="auto" w:before="72"/>
        <w:ind w:right="135"/>
      </w:pPr>
      <w:r>
        <w:rPr/>
        <w:t>settlements with high density human-created structures that exacerbate the health-related problems</w:t>
      </w:r>
      <w:r>
        <w:rPr>
          <w:spacing w:val="-57"/>
        </w:rPr>
        <w:t> </w:t>
      </w:r>
      <w:r>
        <w:rPr/>
        <w:t>of</w:t>
      </w:r>
      <w:r>
        <w:rPr>
          <w:spacing w:val="-2"/>
        </w:rPr>
        <w:t> </w:t>
      </w:r>
      <w:r>
        <w:rPr/>
        <w:t>climate</w:t>
      </w:r>
      <w:r>
        <w:rPr>
          <w:spacing w:val="-2"/>
        </w:rPr>
        <w:t> </w:t>
      </w:r>
      <w:r>
        <w:rPr/>
        <w:t>change.</w:t>
      </w:r>
      <w:r>
        <w:rPr>
          <w:spacing w:val="-1"/>
        </w:rPr>
        <w:t> </w:t>
      </w:r>
      <w:r>
        <w:rPr/>
        <w:t>Climate</w:t>
      </w:r>
      <w:r>
        <w:rPr>
          <w:spacing w:val="-1"/>
        </w:rPr>
        <w:t> </w:t>
      </w:r>
      <w:r>
        <w:rPr/>
        <w:t>change could</w:t>
      </w:r>
      <w:r>
        <w:rPr>
          <w:spacing w:val="-1"/>
        </w:rPr>
        <w:t> </w:t>
      </w:r>
      <w:r>
        <w:rPr/>
        <w:t>aggravate</w:t>
      </w:r>
      <w:r>
        <w:rPr>
          <w:spacing w:val="-2"/>
        </w:rPr>
        <w:t> </w:t>
      </w:r>
      <w:r>
        <w:rPr/>
        <w:t>the health</w:t>
      </w:r>
      <w:r>
        <w:rPr>
          <w:spacing w:val="-1"/>
        </w:rPr>
        <w:t> </w:t>
      </w:r>
      <w:r>
        <w:rPr/>
        <w:t>issues</w:t>
      </w:r>
      <w:r>
        <w:rPr>
          <w:spacing w:val="-1"/>
        </w:rPr>
        <w:t> </w:t>
      </w:r>
      <w:r>
        <w:rPr/>
        <w:t>faced</w:t>
      </w:r>
      <w:r>
        <w:rPr>
          <w:spacing w:val="1"/>
        </w:rPr>
        <w:t> </w:t>
      </w:r>
      <w:r>
        <w:rPr/>
        <w:t>by</w:t>
      </w:r>
      <w:r>
        <w:rPr>
          <w:spacing w:val="-6"/>
        </w:rPr>
        <w:t> </w:t>
      </w:r>
      <w:r>
        <w:rPr/>
        <w:t>the</w:t>
      </w:r>
      <w:r>
        <w:rPr>
          <w:spacing w:val="-1"/>
        </w:rPr>
        <w:t> </w:t>
      </w:r>
      <w:r>
        <w:rPr/>
        <w:t>urban</w:t>
      </w:r>
      <w:r>
        <w:rPr>
          <w:spacing w:val="4"/>
        </w:rPr>
        <w:t> </w:t>
      </w:r>
      <w:r>
        <w:rPr/>
        <w:t>poor</w:t>
      </w:r>
      <w:r>
        <w:rPr>
          <w:spacing w:val="-1"/>
        </w:rPr>
        <w:t> </w:t>
      </w:r>
      <w:r>
        <w:rPr/>
        <w:t>to</w:t>
      </w:r>
      <w:r>
        <w:rPr>
          <w:spacing w:val="-1"/>
        </w:rPr>
        <w:t> </w:t>
      </w:r>
      <w:r>
        <w:rPr/>
        <w:t>the</w:t>
      </w:r>
      <w:r>
        <w:rPr>
          <w:spacing w:val="-57"/>
        </w:rPr>
        <w:t> </w:t>
      </w:r>
      <w:r>
        <w:rPr/>
        <w:t>extent that entire communities are devastated because the poor have the tendency to live in</w:t>
      </w:r>
      <w:r>
        <w:rPr>
          <w:spacing w:val="1"/>
        </w:rPr>
        <w:t> </w:t>
      </w:r>
      <w:r>
        <w:rPr/>
        <w:t>informal settlements that are more defenseless to severe weather events. The increased</w:t>
      </w:r>
      <w:r>
        <w:rPr>
          <w:spacing w:val="1"/>
        </w:rPr>
        <w:t> </w:t>
      </w:r>
      <w:r>
        <w:rPr/>
        <w:t>vulnerability of the health of the urban poor due to reduced food security, drinking water, and</w:t>
      </w:r>
      <w:r>
        <w:rPr>
          <w:spacing w:val="1"/>
        </w:rPr>
        <w:t> </w:t>
      </w:r>
      <w:r>
        <w:rPr/>
        <w:t>water-rodent borne diseases associated with floods, droughts, and the relation between high</w:t>
      </w:r>
      <w:r>
        <w:rPr>
          <w:spacing w:val="1"/>
        </w:rPr>
        <w:t> </w:t>
      </w:r>
      <w:r>
        <w:rPr/>
        <w:t>temperatures and heat stress will be worsened by climate change (Marolla, 2016; Twinomuhangi,</w:t>
      </w:r>
      <w:r>
        <w:rPr>
          <w:spacing w:val="1"/>
        </w:rPr>
        <w:t> </w:t>
      </w:r>
      <w:r>
        <w:rPr/>
        <w:t>et</w:t>
      </w:r>
      <w:r>
        <w:rPr>
          <w:spacing w:val="-1"/>
        </w:rPr>
        <w:t> </w:t>
      </w:r>
      <w:r>
        <w:rPr/>
        <w:t>al., 2021).</w:t>
      </w:r>
    </w:p>
    <w:p>
      <w:pPr>
        <w:pStyle w:val="BodyText"/>
        <w:spacing w:line="480" w:lineRule="auto" w:before="201"/>
        <w:ind w:right="131"/>
      </w:pPr>
      <w:r>
        <w:rPr/>
        <w:t>The stability of the global economy and political order are critically dependent on two inextricable</w:t>
      </w:r>
      <w:r>
        <w:rPr>
          <w:spacing w:val="-57"/>
        </w:rPr>
        <w:t> </w:t>
      </w:r>
      <w:r>
        <w:rPr/>
        <w:t>factors: megacities and public health. Protecting the public health of these urban areas has more</w:t>
      </w:r>
      <w:r>
        <w:rPr>
          <w:spacing w:val="1"/>
        </w:rPr>
        <w:t> </w:t>
      </w:r>
      <w:r>
        <w:rPr/>
        <w:t>far-reaching repercussions than protecting the health of individuals in those densely populated</w:t>
      </w:r>
      <w:r>
        <w:rPr>
          <w:spacing w:val="1"/>
        </w:rPr>
        <w:t> </w:t>
      </w:r>
      <w:r>
        <w:rPr/>
        <w:t>areas.</w:t>
      </w:r>
      <w:r>
        <w:rPr>
          <w:spacing w:val="1"/>
        </w:rPr>
        <w:t> </w:t>
      </w:r>
      <w:r>
        <w:rPr/>
        <w:t>As rapid urbanization is presenting new human and environmental outcomes, we are</w:t>
      </w:r>
      <w:r>
        <w:rPr>
          <w:spacing w:val="1"/>
        </w:rPr>
        <w:t> </w:t>
      </w:r>
      <w:r>
        <w:rPr/>
        <w:t>presently witnessing that megacities are the future of humankind.</w:t>
      </w:r>
      <w:r>
        <w:rPr>
          <w:spacing w:val="1"/>
        </w:rPr>
        <w:t> </w:t>
      </w:r>
      <w:r>
        <w:rPr/>
        <w:t>Urban environments have</w:t>
      </w:r>
      <w:r>
        <w:rPr>
          <w:spacing w:val="1"/>
        </w:rPr>
        <w:t> </w:t>
      </w:r>
      <w:r>
        <w:rPr/>
        <w:t>implications—both positive and negative—for almost every phase of human health and well-being</w:t>
      </w:r>
      <w:r>
        <w:rPr>
          <w:spacing w:val="-57"/>
        </w:rPr>
        <w:t> </w:t>
      </w:r>
      <w:r>
        <w:rPr/>
        <w:t>(Marolla, 2016). A health problem in one megacity can spread rapidly to other parts of the world</w:t>
      </w:r>
      <w:r>
        <w:rPr>
          <w:spacing w:val="1"/>
        </w:rPr>
        <w:t> </w:t>
      </w:r>
      <w:r>
        <w:rPr/>
        <w:t>(Khan</w:t>
      </w:r>
      <w:r>
        <w:rPr>
          <w:spacing w:val="-1"/>
        </w:rPr>
        <w:t> </w:t>
      </w:r>
      <w:r>
        <w:rPr/>
        <w:t>and Pappas,</w:t>
      </w:r>
      <w:r>
        <w:rPr>
          <w:spacing w:val="-1"/>
        </w:rPr>
        <w:t> </w:t>
      </w:r>
      <w:r>
        <w:rPr/>
        <w:t>2011), leading</w:t>
      </w:r>
      <w:r>
        <w:rPr>
          <w:spacing w:val="-2"/>
        </w:rPr>
        <w:t> </w:t>
      </w:r>
      <w:r>
        <w:rPr/>
        <w:t>to</w:t>
      </w:r>
      <w:r>
        <w:rPr>
          <w:spacing w:val="-1"/>
        </w:rPr>
        <w:t> </w:t>
      </w:r>
      <w:r>
        <w:rPr/>
        <w:t>widespread public</w:t>
      </w:r>
      <w:r>
        <w:rPr>
          <w:spacing w:val="-2"/>
        </w:rPr>
        <w:t> </w:t>
      </w:r>
      <w:r>
        <w:rPr/>
        <w:t>health concerns and</w:t>
      </w:r>
      <w:r>
        <w:rPr>
          <w:spacing w:val="1"/>
        </w:rPr>
        <w:t> </w:t>
      </w:r>
      <w:r>
        <w:rPr/>
        <w:t>destabilizing</w:t>
      </w:r>
      <w:r>
        <w:rPr>
          <w:spacing w:val="-2"/>
        </w:rPr>
        <w:t> </w:t>
      </w:r>
      <w:r>
        <w:rPr/>
        <w:t>the</w:t>
      </w:r>
    </w:p>
    <w:p>
      <w:pPr>
        <w:pStyle w:val="BodyText"/>
        <w:spacing w:line="482" w:lineRule="auto" w:before="1"/>
        <w:ind w:right="487"/>
      </w:pPr>
      <w:r>
        <w:rPr/>
        <w:t>megacity’s</w:t>
      </w:r>
      <w:r>
        <w:rPr>
          <w:spacing w:val="-1"/>
        </w:rPr>
        <w:t> </w:t>
      </w:r>
      <w:r>
        <w:rPr/>
        <w:t>operations.</w:t>
      </w:r>
      <w:r>
        <w:rPr>
          <w:spacing w:val="-1"/>
        </w:rPr>
        <w:t> </w:t>
      </w:r>
      <w:r>
        <w:rPr/>
        <w:t>The</w:t>
      </w:r>
      <w:r>
        <w:rPr>
          <w:spacing w:val="-3"/>
        </w:rPr>
        <w:t> </w:t>
      </w:r>
      <w:r>
        <w:rPr/>
        <w:t>effects</w:t>
      </w:r>
      <w:r>
        <w:rPr>
          <w:spacing w:val="-1"/>
        </w:rPr>
        <w:t> </w:t>
      </w:r>
      <w:r>
        <w:rPr/>
        <w:t>are</w:t>
      </w:r>
      <w:r>
        <w:rPr>
          <w:spacing w:val="-3"/>
        </w:rPr>
        <w:t> </w:t>
      </w:r>
      <w:r>
        <w:rPr/>
        <w:t>felt</w:t>
      </w:r>
      <w:r>
        <w:rPr>
          <w:spacing w:val="-1"/>
        </w:rPr>
        <w:t> </w:t>
      </w:r>
      <w:r>
        <w:rPr/>
        <w:t>not</w:t>
      </w:r>
      <w:r>
        <w:rPr>
          <w:spacing w:val="-1"/>
        </w:rPr>
        <w:t> </w:t>
      </w:r>
      <w:r>
        <w:rPr/>
        <w:t>just</w:t>
      </w:r>
      <w:r>
        <w:rPr>
          <w:spacing w:val="-1"/>
        </w:rPr>
        <w:t> </w:t>
      </w:r>
      <w:r>
        <w:rPr/>
        <w:t>in</w:t>
      </w:r>
      <w:r>
        <w:rPr>
          <w:spacing w:val="-1"/>
        </w:rPr>
        <w:t> </w:t>
      </w:r>
      <w:r>
        <w:rPr/>
        <w:t>the</w:t>
      </w:r>
      <w:r>
        <w:rPr>
          <w:spacing w:val="-1"/>
        </w:rPr>
        <w:t> </w:t>
      </w:r>
      <w:r>
        <w:rPr/>
        <w:t>health</w:t>
      </w:r>
      <w:r>
        <w:rPr>
          <w:spacing w:val="-1"/>
        </w:rPr>
        <w:t> </w:t>
      </w:r>
      <w:r>
        <w:rPr/>
        <w:t>sector</w:t>
      </w:r>
      <w:r>
        <w:rPr>
          <w:spacing w:val="-1"/>
        </w:rPr>
        <w:t> </w:t>
      </w:r>
      <w:r>
        <w:rPr/>
        <w:t>but</w:t>
      </w:r>
      <w:r>
        <w:rPr>
          <w:spacing w:val="-1"/>
        </w:rPr>
        <w:t> </w:t>
      </w:r>
      <w:r>
        <w:rPr/>
        <w:t>throughout</w:t>
      </w:r>
      <w:r>
        <w:rPr>
          <w:spacing w:val="-1"/>
        </w:rPr>
        <w:t> </w:t>
      </w:r>
      <w:r>
        <w:rPr/>
        <w:t>the entire</w:t>
      </w:r>
      <w:r>
        <w:rPr>
          <w:spacing w:val="-57"/>
        </w:rPr>
        <w:t> </w:t>
      </w:r>
      <w:r>
        <w:rPr/>
        <w:t>system.</w:t>
      </w:r>
    </w:p>
    <w:p>
      <w:pPr>
        <w:pStyle w:val="BodyText"/>
        <w:spacing w:before="10"/>
        <w:ind w:left="0"/>
        <w:rPr>
          <w:sz w:val="23"/>
        </w:rPr>
      </w:pPr>
    </w:p>
    <w:p>
      <w:pPr>
        <w:pStyle w:val="BodyText"/>
        <w:spacing w:line="480" w:lineRule="auto" w:before="1"/>
        <w:ind w:right="143"/>
      </w:pPr>
      <w:r>
        <w:rPr/>
        <w:t>All the approaches that will be presented in this volume deal explicitly or implicitly with the</w:t>
      </w:r>
      <w:r>
        <w:rPr>
          <w:spacing w:val="1"/>
        </w:rPr>
        <w:t> </w:t>
      </w:r>
      <w:r>
        <w:rPr/>
        <w:t>question: How do we apply and deliver concrete strategies to confront the vulnerabilities of</w:t>
      </w:r>
      <w:r>
        <w:rPr>
          <w:spacing w:val="1"/>
        </w:rPr>
        <w:t> </w:t>
      </w:r>
      <w:r>
        <w:rPr/>
        <w:t>megacities and the urban population to severe climatic events affecting public health? It also</w:t>
      </w:r>
      <w:r>
        <w:rPr>
          <w:spacing w:val="1"/>
        </w:rPr>
        <w:t> </w:t>
      </w:r>
      <w:r>
        <w:rPr/>
        <w:t>addresses the challenges of attaining sustainable development, capacity building, proactive and</w:t>
      </w:r>
      <w:r>
        <w:rPr>
          <w:spacing w:val="1"/>
        </w:rPr>
        <w:t> </w:t>
      </w:r>
      <w:r>
        <w:rPr/>
        <w:t>reactive strategic planning, and improving and maintaining the city’s infrastructure and services to</w:t>
      </w:r>
      <w:r>
        <w:rPr>
          <w:spacing w:val="-57"/>
        </w:rPr>
        <w:t> </w:t>
      </w:r>
      <w:r>
        <w:rPr/>
        <w:t>sustain</w:t>
      </w:r>
      <w:r>
        <w:rPr>
          <w:spacing w:val="-1"/>
        </w:rPr>
        <w:t> </w:t>
      </w:r>
      <w:r>
        <w:rPr/>
        <w:t>resilience. The</w:t>
      </w:r>
      <w:r>
        <w:rPr>
          <w:spacing w:val="-1"/>
        </w:rPr>
        <w:t> </w:t>
      </w:r>
      <w:r>
        <w:rPr/>
        <w:t>assessment frameworks will</w:t>
      </w:r>
      <w:r>
        <w:rPr>
          <w:spacing w:val="-1"/>
        </w:rPr>
        <w:t> </w:t>
      </w:r>
      <w:r>
        <w:rPr/>
        <w:t>be</w:t>
      </w:r>
      <w:r>
        <w:rPr>
          <w:spacing w:val="2"/>
        </w:rPr>
        <w:t> </w:t>
      </w:r>
      <w:r>
        <w:rPr/>
        <w:t>developed to</w:t>
      </w:r>
      <w:r>
        <w:rPr>
          <w:spacing w:val="-1"/>
        </w:rPr>
        <w:t> </w:t>
      </w:r>
      <w:r>
        <w:rPr/>
        <w:t>methodically</w:t>
      </w:r>
      <w:r>
        <w:rPr>
          <w:spacing w:val="-3"/>
        </w:rPr>
        <w:t> </w:t>
      </w:r>
      <w:r>
        <w:rPr/>
        <w:t>analyze</w:t>
      </w:r>
      <w:r>
        <w:rPr>
          <w:spacing w:val="-2"/>
        </w:rPr>
        <w:t> </w:t>
      </w:r>
      <w:r>
        <w:rPr/>
        <w:t>the</w:t>
      </w:r>
    </w:p>
    <w:p>
      <w:pPr>
        <w:spacing w:after="0" w:line="480" w:lineRule="auto"/>
        <w:sectPr>
          <w:pgSz w:w="12240" w:h="15840"/>
          <w:pgMar w:top="1340" w:bottom="280" w:left="1220" w:right="1180"/>
        </w:sectPr>
      </w:pPr>
    </w:p>
    <w:p>
      <w:pPr>
        <w:pStyle w:val="BodyText"/>
        <w:spacing w:line="480" w:lineRule="auto" w:before="72"/>
        <w:ind w:right="262"/>
      </w:pPr>
      <w:r>
        <w:rPr/>
        <w:t>risks. Then, risk is evaluated by identifying the consequences and probabilities in the context of</w:t>
      </w:r>
      <w:r>
        <w:rPr>
          <w:spacing w:val="1"/>
        </w:rPr>
        <w:t> </w:t>
      </w:r>
      <w:r>
        <w:rPr/>
        <w:t>existing controls. Taking into consideration the source of risk is important and it has to be</w:t>
      </w:r>
      <w:r>
        <w:rPr>
          <w:spacing w:val="1"/>
        </w:rPr>
        <w:t> </w:t>
      </w:r>
      <w:r>
        <w:rPr/>
        <w:t>emphasized to understand the positive and negative effects and probabilities. An individual</w:t>
      </w:r>
      <w:r>
        <w:rPr>
          <w:spacing w:val="1"/>
        </w:rPr>
        <w:t> </w:t>
      </w:r>
      <w:r>
        <w:rPr/>
        <w:t>analysis of the consequences and likelihoods is needed to perform a qualitative climate change</w:t>
      </w:r>
      <w:r>
        <w:rPr>
          <w:spacing w:val="1"/>
        </w:rPr>
        <w:t> </w:t>
      </w:r>
      <w:r>
        <w:rPr/>
        <w:t>risk</w:t>
      </w:r>
      <w:r>
        <w:rPr>
          <w:spacing w:val="-2"/>
        </w:rPr>
        <w:t> </w:t>
      </w:r>
      <w:r>
        <w:rPr/>
        <w:t>health</w:t>
      </w:r>
      <w:r>
        <w:rPr>
          <w:spacing w:val="-1"/>
        </w:rPr>
        <w:t> </w:t>
      </w:r>
      <w:r>
        <w:rPr/>
        <w:t>assessment</w:t>
      </w:r>
      <w:r>
        <w:rPr>
          <w:spacing w:val="-2"/>
        </w:rPr>
        <w:t> </w:t>
      </w:r>
      <w:r>
        <w:rPr/>
        <w:t>based</w:t>
      </w:r>
      <w:r>
        <w:rPr>
          <w:spacing w:val="-1"/>
        </w:rPr>
        <w:t> </w:t>
      </w:r>
      <w:r>
        <w:rPr/>
        <w:t>on</w:t>
      </w:r>
      <w:r>
        <w:rPr>
          <w:spacing w:val="-1"/>
        </w:rPr>
        <w:t> </w:t>
      </w:r>
      <w:r>
        <w:rPr/>
        <w:t>particular</w:t>
      </w:r>
      <w:r>
        <w:rPr>
          <w:spacing w:val="-2"/>
        </w:rPr>
        <w:t> </w:t>
      </w:r>
      <w:r>
        <w:rPr/>
        <w:t>outcomes.</w:t>
      </w:r>
      <w:r>
        <w:rPr>
          <w:spacing w:val="-1"/>
        </w:rPr>
        <w:t> </w:t>
      </w:r>
      <w:r>
        <w:rPr/>
        <w:t>Analyzing</w:t>
      </w:r>
      <w:r>
        <w:rPr>
          <w:spacing w:val="-4"/>
        </w:rPr>
        <w:t> </w:t>
      </w:r>
      <w:r>
        <w:rPr/>
        <w:t>past</w:t>
      </w:r>
      <w:r>
        <w:rPr>
          <w:spacing w:val="-1"/>
        </w:rPr>
        <w:t> </w:t>
      </w:r>
      <w:r>
        <w:rPr/>
        <w:t>events,</w:t>
      </w:r>
      <w:r>
        <w:rPr>
          <w:spacing w:val="-2"/>
        </w:rPr>
        <w:t> </w:t>
      </w:r>
      <w:r>
        <w:rPr/>
        <w:t>practice and</w:t>
      </w:r>
      <w:r>
        <w:rPr>
          <w:spacing w:val="-2"/>
        </w:rPr>
        <w:t> </w:t>
      </w:r>
      <w:r>
        <w:rPr/>
        <w:t>relevant</w:t>
      </w:r>
      <w:r>
        <w:rPr>
          <w:spacing w:val="-57"/>
        </w:rPr>
        <w:t> </w:t>
      </w:r>
      <w:r>
        <w:rPr/>
        <w:t>information, and applicable published literature will be underlined for an effective analysis of</w:t>
      </w:r>
      <w:r>
        <w:rPr>
          <w:spacing w:val="1"/>
        </w:rPr>
        <w:t> </w:t>
      </w:r>
      <w:r>
        <w:rPr/>
        <w:t>climatic</w:t>
      </w:r>
      <w:r>
        <w:rPr>
          <w:spacing w:val="-2"/>
        </w:rPr>
        <w:t> </w:t>
      </w:r>
      <w:r>
        <w:rPr/>
        <w:t>healh risk in urban areas.</w:t>
      </w:r>
    </w:p>
    <w:p>
      <w:pPr>
        <w:pStyle w:val="BodyText"/>
        <w:spacing w:before="4"/>
        <w:ind w:left="0"/>
      </w:pPr>
    </w:p>
    <w:p>
      <w:pPr>
        <w:pStyle w:val="BodyText"/>
        <w:spacing w:line="480" w:lineRule="auto"/>
        <w:ind w:right="161"/>
      </w:pPr>
      <w:r>
        <w:rPr/>
        <w:t>This research focuses on climate health issues, and the urban poor living in megacities. Analyses</w:t>
      </w:r>
      <w:r>
        <w:rPr>
          <w:spacing w:val="1"/>
        </w:rPr>
        <w:t> </w:t>
      </w:r>
      <w:r>
        <w:rPr/>
        <w:t>of</w:t>
      </w:r>
      <w:r>
        <w:rPr>
          <w:spacing w:val="-2"/>
        </w:rPr>
        <w:t> </w:t>
      </w:r>
      <w:r>
        <w:rPr/>
        <w:t>these</w:t>
      </w:r>
      <w:r>
        <w:rPr>
          <w:spacing w:val="-3"/>
        </w:rPr>
        <w:t> </w:t>
      </w:r>
      <w:r>
        <w:rPr/>
        <w:t>findings</w:t>
      </w:r>
      <w:r>
        <w:rPr>
          <w:spacing w:val="-1"/>
        </w:rPr>
        <w:t> </w:t>
      </w:r>
      <w:r>
        <w:rPr/>
        <w:t>further explain</w:t>
      </w:r>
      <w:r>
        <w:rPr>
          <w:spacing w:val="-1"/>
        </w:rPr>
        <w:t> </w:t>
      </w:r>
      <w:r>
        <w:rPr/>
        <w:t>the</w:t>
      </w:r>
      <w:r>
        <w:rPr>
          <w:spacing w:val="-1"/>
        </w:rPr>
        <w:t> </w:t>
      </w:r>
      <w:r>
        <w:rPr/>
        <w:t>need</w:t>
      </w:r>
      <w:r>
        <w:rPr>
          <w:spacing w:val="-1"/>
        </w:rPr>
        <w:t> </w:t>
      </w:r>
      <w:r>
        <w:rPr/>
        <w:t>for</w:t>
      </w:r>
      <w:r>
        <w:rPr>
          <w:spacing w:val="-1"/>
        </w:rPr>
        <w:t> </w:t>
      </w:r>
      <w:r>
        <w:rPr/>
        <w:t>greater</w:t>
      </w:r>
      <w:r>
        <w:rPr>
          <w:spacing w:val="-1"/>
        </w:rPr>
        <w:t> </w:t>
      </w:r>
      <w:r>
        <w:rPr/>
        <w:t>incorporation</w:t>
      </w:r>
      <w:r>
        <w:rPr>
          <w:spacing w:val="-1"/>
        </w:rPr>
        <w:t> </w:t>
      </w:r>
      <w:r>
        <w:rPr/>
        <w:t>of</w:t>
      </w:r>
      <w:r>
        <w:rPr>
          <w:spacing w:val="-2"/>
        </w:rPr>
        <w:t> </w:t>
      </w:r>
      <w:r>
        <w:rPr/>
        <w:t>the</w:t>
      </w:r>
      <w:r>
        <w:rPr>
          <w:spacing w:val="-1"/>
        </w:rPr>
        <w:t> </w:t>
      </w:r>
      <w:r>
        <w:rPr/>
        <w:t>health</w:t>
      </w:r>
      <w:r>
        <w:rPr>
          <w:spacing w:val="-1"/>
        </w:rPr>
        <w:t> </w:t>
      </w:r>
      <w:r>
        <w:rPr/>
        <w:t>impacts</w:t>
      </w:r>
      <w:r>
        <w:rPr>
          <w:spacing w:val="-1"/>
        </w:rPr>
        <w:t> </w:t>
      </w:r>
      <w:r>
        <w:rPr/>
        <w:t>of</w:t>
      </w:r>
      <w:r>
        <w:rPr>
          <w:spacing w:val="-1"/>
        </w:rPr>
        <w:t> </w:t>
      </w:r>
      <w:r>
        <w:rPr/>
        <w:t>climate</w:t>
      </w:r>
      <w:r>
        <w:rPr>
          <w:spacing w:val="-57"/>
        </w:rPr>
        <w:t> </w:t>
      </w:r>
      <w:r>
        <w:rPr/>
        <w:t>change into local and global strategies. Addressing the issues and challenges associated with</w:t>
      </w:r>
      <w:r>
        <w:rPr>
          <w:spacing w:val="1"/>
        </w:rPr>
        <w:t> </w:t>
      </w:r>
      <w:r>
        <w:rPr/>
        <w:t>mitigating the effects of climate change is enormously difficult. However, this research will lay</w:t>
      </w:r>
      <w:r>
        <w:rPr>
          <w:spacing w:val="1"/>
        </w:rPr>
        <w:t> </w:t>
      </w:r>
      <w:r>
        <w:rPr/>
        <w:t>out a framework for action. By using established international standards that provide step-by-step</w:t>
      </w:r>
      <w:r>
        <w:rPr>
          <w:spacing w:val="1"/>
        </w:rPr>
        <w:t> </w:t>
      </w:r>
      <w:r>
        <w:rPr/>
        <w:t>guidance,</w:t>
      </w:r>
      <w:r>
        <w:rPr>
          <w:spacing w:val="1"/>
        </w:rPr>
        <w:t> </w:t>
      </w:r>
      <w:r>
        <w:rPr/>
        <w:t>assessing climate-sensitive health risks, their exposure pathways and vulnerability</w:t>
      </w:r>
      <w:r>
        <w:rPr>
          <w:spacing w:val="1"/>
        </w:rPr>
        <w:t> </w:t>
      </w:r>
      <w:r>
        <w:rPr/>
        <w:t>factors, along with a compelling business case for action, cities that face harmful climate impacts</w:t>
      </w:r>
      <w:r>
        <w:rPr>
          <w:spacing w:val="1"/>
        </w:rPr>
        <w:t> </w:t>
      </w:r>
      <w:r>
        <w:rPr/>
        <w:t>can begin to systematically address these risks by focusing on developing a compelling strategic</w:t>
      </w:r>
      <w:r>
        <w:rPr>
          <w:spacing w:val="1"/>
        </w:rPr>
        <w:t> </w:t>
      </w:r>
      <w:r>
        <w:rPr/>
        <w:t>planning, in addition to the interlink between climatic impacts affecting cities and the role of</w:t>
      </w:r>
      <w:r>
        <w:rPr>
          <w:spacing w:val="1"/>
        </w:rPr>
        <w:t> </w:t>
      </w:r>
      <w:r>
        <w:rPr/>
        <w:t>information and telecomunication technologies (ICTs) to deter and/ or minimize the effects of</w:t>
      </w:r>
      <w:r>
        <w:rPr>
          <w:spacing w:val="1"/>
        </w:rPr>
        <w:t> </w:t>
      </w:r>
      <w:r>
        <w:rPr/>
        <w:t>climate variability and change on public health, and address underdevelopment as a social and</w:t>
      </w:r>
      <w:r>
        <w:rPr>
          <w:spacing w:val="1"/>
        </w:rPr>
        <w:t> </w:t>
      </w:r>
      <w:r>
        <w:rPr/>
        <w:t>economic phenomenon. While planning for disasters in both the public and private sectors is</w:t>
      </w:r>
      <w:r>
        <w:rPr>
          <w:spacing w:val="1"/>
        </w:rPr>
        <w:t> </w:t>
      </w:r>
      <w:r>
        <w:rPr/>
        <w:t>drawing more attention and at the same time as the quality of the planning processes and the plans</w:t>
      </w:r>
      <w:r>
        <w:rPr>
          <w:spacing w:val="-57"/>
        </w:rPr>
        <w:t> </w:t>
      </w:r>
      <w:r>
        <w:rPr/>
        <w:t>themselves is improving, a challenge remains to recognize the interdependencies between private</w:t>
      </w:r>
      <w:r>
        <w:rPr>
          <w:spacing w:val="1"/>
        </w:rPr>
        <w:t> </w:t>
      </w:r>
      <w:r>
        <w:rPr/>
        <w:t>and public sector plans and to develop a methodology to effectively manage them. Postmortem</w:t>
      </w:r>
      <w:r>
        <w:rPr>
          <w:spacing w:val="1"/>
        </w:rPr>
        <w:t> </w:t>
      </w:r>
      <w:r>
        <w:rPr/>
        <w:t>analyses of many disaster events have indicated that individual entities often do well within the</w:t>
      </w:r>
      <w:r>
        <w:rPr>
          <w:spacing w:val="1"/>
        </w:rPr>
        <w:t> </w:t>
      </w:r>
      <w:r>
        <w:rPr/>
        <w:t>limited</w:t>
      </w:r>
      <w:r>
        <w:rPr>
          <w:spacing w:val="-1"/>
        </w:rPr>
        <w:t> </w:t>
      </w:r>
      <w:r>
        <w:rPr/>
        <w:t>scope</w:t>
      </w:r>
      <w:r>
        <w:rPr>
          <w:spacing w:val="-2"/>
        </w:rPr>
        <w:t> </w:t>
      </w:r>
      <w:r>
        <w:rPr/>
        <w:t>of their</w:t>
      </w:r>
      <w:r>
        <w:rPr>
          <w:spacing w:val="-1"/>
        </w:rPr>
        <w:t> </w:t>
      </w:r>
      <w:r>
        <w:rPr/>
        <w:t>expertise, but</w:t>
      </w:r>
      <w:r>
        <w:rPr>
          <w:spacing w:val="-1"/>
        </w:rPr>
        <w:t> </w:t>
      </w:r>
      <w:r>
        <w:rPr/>
        <w:t>when systemic performance</w:t>
      </w:r>
      <w:r>
        <w:rPr>
          <w:spacing w:val="-1"/>
        </w:rPr>
        <w:t> </w:t>
      </w:r>
      <w:r>
        <w:rPr/>
        <w:t>is</w:t>
      </w:r>
      <w:r>
        <w:rPr>
          <w:spacing w:val="-1"/>
        </w:rPr>
        <w:t> </w:t>
      </w:r>
      <w:r>
        <w:rPr/>
        <w:t>assessed,</w:t>
      </w:r>
      <w:r>
        <w:rPr>
          <w:spacing w:val="1"/>
        </w:rPr>
        <w:t> </w:t>
      </w:r>
      <w:r>
        <w:rPr/>
        <w:t>more</w:t>
      </w:r>
      <w:r>
        <w:rPr>
          <w:spacing w:val="-3"/>
        </w:rPr>
        <w:t> </w:t>
      </w:r>
      <w:r>
        <w:rPr/>
        <w:t>holes</w:t>
      </w:r>
      <w:r>
        <w:rPr>
          <w:spacing w:val="-1"/>
        </w:rPr>
        <w:t> </w:t>
      </w:r>
      <w:r>
        <w:rPr/>
        <w:t>exist.</w:t>
      </w:r>
    </w:p>
    <w:p>
      <w:pPr>
        <w:spacing w:after="0" w:line="480" w:lineRule="auto"/>
        <w:sectPr>
          <w:pgSz w:w="12240" w:h="15840"/>
          <w:pgMar w:top="1340" w:bottom="280" w:left="1220" w:right="1180"/>
        </w:sectPr>
      </w:pPr>
    </w:p>
    <w:p>
      <w:pPr>
        <w:pStyle w:val="BodyText"/>
        <w:spacing w:line="480" w:lineRule="auto" w:before="72"/>
        <w:ind w:right="166"/>
      </w:pPr>
      <w:r>
        <w:rPr/>
        <w:t>One important consideration throughout this research is that megacities are complex systems.</w:t>
      </w:r>
      <w:r>
        <w:rPr>
          <w:spacing w:val="1"/>
        </w:rPr>
        <w:t> </w:t>
      </w:r>
      <w:r>
        <w:rPr/>
        <w:t>They have many distinct components with a wide range of potential interactions; and these</w:t>
      </w:r>
      <w:r>
        <w:rPr>
          <w:spacing w:val="1"/>
        </w:rPr>
        <w:t> </w:t>
      </w:r>
      <w:r>
        <w:rPr/>
        <w:t>components self-organize over time, exhibiting behavioral patterns that emerge from these diverse</w:t>
      </w:r>
      <w:r>
        <w:rPr>
          <w:spacing w:val="-57"/>
        </w:rPr>
        <w:t> </w:t>
      </w:r>
      <w:r>
        <w:rPr/>
        <w:t>and</w:t>
      </w:r>
      <w:r>
        <w:rPr>
          <w:spacing w:val="1"/>
        </w:rPr>
        <w:t> </w:t>
      </w:r>
      <w:r>
        <w:rPr/>
        <w:t>complex</w:t>
      </w:r>
      <w:r>
        <w:rPr>
          <w:spacing w:val="3"/>
        </w:rPr>
        <w:t> </w:t>
      </w:r>
      <w:r>
        <w:rPr/>
        <w:t>interactions</w:t>
      </w:r>
      <w:r>
        <w:rPr>
          <w:spacing w:val="1"/>
        </w:rPr>
        <w:t> </w:t>
      </w:r>
      <w:r>
        <w:rPr/>
        <w:t>(Batty,</w:t>
      </w:r>
      <w:r>
        <w:rPr>
          <w:spacing w:val="1"/>
        </w:rPr>
        <w:t> </w:t>
      </w:r>
      <w:r>
        <w:rPr/>
        <w:t>2008;</w:t>
      </w:r>
      <w:r>
        <w:rPr>
          <w:spacing w:val="1"/>
        </w:rPr>
        <w:t> </w:t>
      </w:r>
      <w:r>
        <w:rPr/>
        <w:t>Marolla,</w:t>
      </w:r>
      <w:r>
        <w:rPr>
          <w:spacing w:val="1"/>
        </w:rPr>
        <w:t> </w:t>
      </w:r>
      <w:r>
        <w:rPr/>
        <w:t>2016).</w:t>
      </w:r>
      <w:r>
        <w:rPr>
          <w:spacing w:val="1"/>
        </w:rPr>
        <w:t> </w:t>
      </w:r>
      <w:r>
        <w:rPr/>
        <w:t>Recognizing</w:t>
      </w:r>
      <w:r>
        <w:rPr>
          <w:spacing w:val="-1"/>
        </w:rPr>
        <w:t> </w:t>
      </w:r>
      <w:r>
        <w:rPr/>
        <w:t>and</w:t>
      </w:r>
      <w:r>
        <w:rPr>
          <w:spacing w:val="3"/>
        </w:rPr>
        <w:t> </w:t>
      </w:r>
      <w:r>
        <w:rPr/>
        <w:t>exploring</w:t>
      </w:r>
      <w:r>
        <w:rPr>
          <w:spacing w:val="-2"/>
        </w:rPr>
        <w:t> </w:t>
      </w:r>
      <w:r>
        <w:rPr/>
        <w:t>this</w:t>
      </w:r>
      <w:r>
        <w:rPr>
          <w:spacing w:val="1"/>
        </w:rPr>
        <w:t> </w:t>
      </w:r>
      <w:r>
        <w:rPr/>
        <w:t>complexity can clarify what management strategies may be most effective and may highlight</w:t>
      </w:r>
      <w:r>
        <w:rPr>
          <w:spacing w:val="1"/>
        </w:rPr>
        <w:t> </w:t>
      </w:r>
      <w:r>
        <w:rPr/>
        <w:t>knowledge gaps</w:t>
      </w:r>
      <w:r>
        <w:rPr>
          <w:spacing w:val="-1"/>
        </w:rPr>
        <w:t> </w:t>
      </w:r>
      <w:r>
        <w:rPr/>
        <w:t>to be filled through</w:t>
      </w:r>
      <w:r>
        <w:rPr>
          <w:spacing w:val="-1"/>
        </w:rPr>
        <w:t> </w:t>
      </w:r>
      <w:r>
        <w:rPr/>
        <w:t>modeling, targeted</w:t>
      </w:r>
      <w:r>
        <w:rPr>
          <w:spacing w:val="-1"/>
        </w:rPr>
        <w:t> </w:t>
      </w:r>
      <w:r>
        <w:rPr/>
        <w:t>learning,</w:t>
      </w:r>
      <w:r>
        <w:rPr>
          <w:spacing w:val="1"/>
        </w:rPr>
        <w:t> </w:t>
      </w:r>
      <w:r>
        <w:rPr/>
        <w:t>and other</w:t>
      </w:r>
      <w:r>
        <w:rPr>
          <w:spacing w:val="3"/>
        </w:rPr>
        <w:t> </w:t>
      </w:r>
      <w:r>
        <w:rPr/>
        <w:t>strategies.</w:t>
      </w:r>
    </w:p>
    <w:p>
      <w:pPr>
        <w:pStyle w:val="BodyText"/>
        <w:spacing w:line="480" w:lineRule="auto" w:before="1"/>
        <w:ind w:right="160"/>
      </w:pPr>
      <w:r>
        <w:rPr/>
        <w:t>As such, it appears important to develop strategic frameworks within collective actions made for</w:t>
      </w:r>
      <w:r>
        <w:rPr>
          <w:spacing w:val="1"/>
        </w:rPr>
        <w:t> </w:t>
      </w:r>
      <w:r>
        <w:rPr/>
        <w:t>leaders</w:t>
      </w:r>
      <w:r>
        <w:rPr>
          <w:spacing w:val="-1"/>
        </w:rPr>
        <w:t> </w:t>
      </w:r>
      <w:r>
        <w:rPr/>
        <w:t>of</w:t>
      </w:r>
      <w:r>
        <w:rPr>
          <w:spacing w:val="-2"/>
        </w:rPr>
        <w:t> </w:t>
      </w:r>
      <w:r>
        <w:rPr/>
        <w:t>the</w:t>
      </w:r>
      <w:r>
        <w:rPr>
          <w:spacing w:val="-2"/>
        </w:rPr>
        <w:t> </w:t>
      </w:r>
      <w:r>
        <w:rPr/>
        <w:t>public</w:t>
      </w:r>
      <w:r>
        <w:rPr>
          <w:spacing w:val="-1"/>
        </w:rPr>
        <w:t> </w:t>
      </w:r>
      <w:r>
        <w:rPr/>
        <w:t>and</w:t>
      </w:r>
      <w:r>
        <w:rPr>
          <w:spacing w:val="1"/>
        </w:rPr>
        <w:t> </w:t>
      </w:r>
      <w:r>
        <w:rPr/>
        <w:t>private</w:t>
      </w:r>
      <w:r>
        <w:rPr>
          <w:spacing w:val="-1"/>
        </w:rPr>
        <w:t> </w:t>
      </w:r>
      <w:r>
        <w:rPr/>
        <w:t>sector</w:t>
      </w:r>
      <w:r>
        <w:rPr>
          <w:spacing w:val="-1"/>
        </w:rPr>
        <w:t> </w:t>
      </w:r>
      <w:r>
        <w:rPr/>
        <w:t>that consequently</w:t>
      </w:r>
      <w:r>
        <w:rPr>
          <w:spacing w:val="-5"/>
        </w:rPr>
        <w:t> </w:t>
      </w:r>
      <w:r>
        <w:rPr/>
        <w:t>becomes</w:t>
      </w:r>
      <w:r>
        <w:rPr>
          <w:spacing w:val="-1"/>
        </w:rPr>
        <w:t> </w:t>
      </w:r>
      <w:r>
        <w:rPr/>
        <w:t>achievable; where</w:t>
      </w:r>
      <w:r>
        <w:rPr>
          <w:spacing w:val="-3"/>
        </w:rPr>
        <w:t> </w:t>
      </w:r>
      <w:r>
        <w:rPr/>
        <w:t>success is</w:t>
      </w:r>
      <w:r>
        <w:rPr>
          <w:spacing w:val="-1"/>
        </w:rPr>
        <w:t> </w:t>
      </w:r>
      <w:r>
        <w:rPr/>
        <w:t>no</w:t>
      </w:r>
      <w:r>
        <w:rPr>
          <w:spacing w:val="-57"/>
        </w:rPr>
        <w:t> </w:t>
      </w:r>
      <w:r>
        <w:rPr/>
        <w:t>longer solely tied to individual incentives, but equally to the provision of information, learning,</w:t>
      </w:r>
      <w:r>
        <w:rPr>
          <w:spacing w:val="1"/>
        </w:rPr>
        <w:t> </w:t>
      </w:r>
      <w:r>
        <w:rPr/>
        <w:t>and interaction between local and global stakeholders, while simultaneously fostering ICTs as the</w:t>
      </w:r>
      <w:r>
        <w:rPr>
          <w:spacing w:val="1"/>
        </w:rPr>
        <w:t> </w:t>
      </w:r>
      <w:r>
        <w:rPr/>
        <w:t>cross-cutting technology that can drive the deep transformation needed in the global effort to</w:t>
      </w:r>
      <w:r>
        <w:rPr>
          <w:spacing w:val="1"/>
        </w:rPr>
        <w:t> </w:t>
      </w:r>
      <w:r>
        <w:rPr/>
        <w:t>achive sustainable development. The research will shows how cities across the world can begin to</w:t>
      </w:r>
      <w:r>
        <w:rPr>
          <w:spacing w:val="-57"/>
        </w:rPr>
        <w:t> </w:t>
      </w:r>
      <w:r>
        <w:rPr/>
        <w:t>lay out a long-term plan for action with standards-based solutions refer to the “plan–do–check–</w:t>
      </w:r>
      <w:r>
        <w:rPr>
          <w:spacing w:val="1"/>
        </w:rPr>
        <w:t> </w:t>
      </w:r>
      <w:r>
        <w:rPr/>
        <w:t>act” (PDCA), and climate resilience models for carrying out change. Many have planned climate</w:t>
      </w:r>
      <w:r>
        <w:rPr>
          <w:spacing w:val="1"/>
        </w:rPr>
        <w:t> </w:t>
      </w:r>
      <w:r>
        <w:rPr/>
        <w:t>mitigation and adaptation strategies, but often faced opposition if they did not address the issue</w:t>
      </w:r>
      <w:r>
        <w:rPr>
          <w:spacing w:val="1"/>
        </w:rPr>
        <w:t> </w:t>
      </w:r>
      <w:r>
        <w:rPr/>
        <w:t>comprehensively. The proposed strategic frameworks seeks to explain the health consequences of</w:t>
      </w:r>
      <w:r>
        <w:rPr>
          <w:spacing w:val="1"/>
        </w:rPr>
        <w:t> </w:t>
      </w:r>
      <w:r>
        <w:rPr/>
        <w:t>climate change and the impacts on urban populations, how major cities should respond with</w:t>
      </w:r>
      <w:r>
        <w:rPr>
          <w:spacing w:val="1"/>
        </w:rPr>
        <w:t> </w:t>
      </w:r>
      <w:r>
        <w:rPr/>
        <w:t>preparedness and adaptation strategies to lessen impacts and collective actions that can be taken to</w:t>
      </w:r>
      <w:r>
        <w:rPr>
          <w:spacing w:val="-57"/>
        </w:rPr>
        <w:t> </w:t>
      </w:r>
      <w:r>
        <w:rPr/>
        <w:t>mitigate the health risks associated with climate change.</w:t>
      </w:r>
      <w:r>
        <w:rPr>
          <w:spacing w:val="1"/>
        </w:rPr>
        <w:t> </w:t>
      </w:r>
      <w:r>
        <w:rPr/>
        <w:t>The strategic planning for cities is</w:t>
      </w:r>
      <w:r>
        <w:rPr>
          <w:spacing w:val="1"/>
        </w:rPr>
        <w:t> </w:t>
      </w:r>
      <w:r>
        <w:rPr/>
        <w:t>primarily analytical in nature and draw on available information to provide a high-level synthesis</w:t>
      </w:r>
      <w:r>
        <w:rPr>
          <w:spacing w:val="1"/>
        </w:rPr>
        <w:t> </w:t>
      </w:r>
      <w:r>
        <w:rPr/>
        <w:t>of the general steps and processes to be pursued. They primarily position the state or utility of the</w:t>
      </w:r>
      <w:r>
        <w:rPr>
          <w:spacing w:val="1"/>
        </w:rPr>
        <w:t> </w:t>
      </w:r>
      <w:r>
        <w:rPr/>
        <w:t>climate strategy, allowing comparison of the expected results of different actions, identifying</w:t>
      </w:r>
      <w:r>
        <w:rPr>
          <w:spacing w:val="1"/>
        </w:rPr>
        <w:t> </w:t>
      </w:r>
      <w:r>
        <w:rPr/>
        <w:t>uncertainty, and providing a structure in which decisions can be made. They are followed by</w:t>
      </w:r>
      <w:r>
        <w:rPr>
          <w:spacing w:val="1"/>
        </w:rPr>
        <w:t> </w:t>
      </w:r>
      <w:r>
        <w:rPr/>
        <w:t>action plans that lay out specific decisions, building a gap analysis to determine requirements and</w:t>
      </w:r>
      <w:r>
        <w:rPr>
          <w:spacing w:val="1"/>
        </w:rPr>
        <w:t> </w:t>
      </w:r>
      <w:r>
        <w:rPr/>
        <w:t>objectives,</w:t>
      </w:r>
      <w:r>
        <w:rPr>
          <w:spacing w:val="-1"/>
        </w:rPr>
        <w:t> </w:t>
      </w:r>
      <w:r>
        <w:rPr/>
        <w:t>and describe</w:t>
      </w:r>
      <w:r>
        <w:rPr>
          <w:spacing w:val="-2"/>
        </w:rPr>
        <w:t> </w:t>
      </w:r>
      <w:r>
        <w:rPr/>
        <w:t>the</w:t>
      </w:r>
      <w:r>
        <w:rPr>
          <w:spacing w:val="-1"/>
        </w:rPr>
        <w:t> </w:t>
      </w:r>
      <w:r>
        <w:rPr/>
        <w:t>resulting</w:t>
      </w:r>
      <w:r>
        <w:rPr>
          <w:spacing w:val="-2"/>
        </w:rPr>
        <w:t> </w:t>
      </w:r>
      <w:r>
        <w:rPr/>
        <w:t>expected actions,</w:t>
      </w:r>
      <w:r>
        <w:rPr>
          <w:spacing w:val="1"/>
        </w:rPr>
        <w:t> </w:t>
      </w:r>
      <w:r>
        <w:rPr/>
        <w:t>identifying</w:t>
      </w:r>
      <w:r>
        <w:rPr>
          <w:spacing w:val="-3"/>
        </w:rPr>
        <w:t> </w:t>
      </w:r>
      <w:r>
        <w:rPr/>
        <w:t>existing</w:t>
      </w:r>
      <w:r>
        <w:rPr>
          <w:spacing w:val="-3"/>
        </w:rPr>
        <w:t> </w:t>
      </w:r>
      <w:r>
        <w:rPr/>
        <w:t>threats and</w:t>
      </w:r>
    </w:p>
    <w:p>
      <w:pPr>
        <w:spacing w:after="0" w:line="480" w:lineRule="auto"/>
        <w:sectPr>
          <w:pgSz w:w="12240" w:h="15840"/>
          <w:pgMar w:top="1340" w:bottom="280" w:left="1220" w:right="1180"/>
        </w:sectPr>
      </w:pPr>
    </w:p>
    <w:p>
      <w:pPr>
        <w:pStyle w:val="BodyText"/>
        <w:spacing w:line="480" w:lineRule="auto" w:before="72"/>
        <w:ind w:right="223"/>
      </w:pPr>
      <w:r>
        <w:rPr/>
        <w:t>opportunities, leading into the “act” step. No plan is perfect, but the only safe plan is one never</w:t>
      </w:r>
      <w:r>
        <w:rPr>
          <w:spacing w:val="1"/>
        </w:rPr>
        <w:t> </w:t>
      </w:r>
      <w:r>
        <w:rPr/>
        <w:t>started. Opportunities to mitigate the effects of climate change on health are disappearing rapidly.</w:t>
      </w:r>
      <w:r>
        <w:rPr>
          <w:spacing w:val="-58"/>
        </w:rPr>
        <w:t> </w:t>
      </w:r>
      <w:r>
        <w:rPr/>
        <w:t>The</w:t>
      </w:r>
      <w:r>
        <w:rPr>
          <w:spacing w:val="-3"/>
        </w:rPr>
        <w:t> </w:t>
      </w:r>
      <w:r>
        <w:rPr/>
        <w:t>time for</w:t>
      </w:r>
      <w:r>
        <w:rPr>
          <w:spacing w:val="-1"/>
        </w:rPr>
        <w:t> </w:t>
      </w:r>
      <w:r>
        <w:rPr/>
        <w:t>planning</w:t>
      </w:r>
      <w:r>
        <w:rPr>
          <w:spacing w:val="-3"/>
        </w:rPr>
        <w:t> </w:t>
      </w:r>
      <w:r>
        <w:rPr/>
        <w:t>is</w:t>
      </w:r>
      <w:r>
        <w:rPr>
          <w:spacing w:val="2"/>
        </w:rPr>
        <w:t> </w:t>
      </w:r>
      <w:r>
        <w:rPr/>
        <w:t>over. The</w:t>
      </w:r>
      <w:r>
        <w:rPr>
          <w:spacing w:val="-2"/>
        </w:rPr>
        <w:t> </w:t>
      </w:r>
      <w:r>
        <w:rPr/>
        <w:t>time to do is</w:t>
      </w:r>
      <w:r>
        <w:rPr>
          <w:spacing w:val="-1"/>
        </w:rPr>
        <w:t> </w:t>
      </w:r>
      <w:r>
        <w:rPr/>
        <w:t>now. This research</w:t>
      </w:r>
      <w:r>
        <w:rPr>
          <w:spacing w:val="1"/>
        </w:rPr>
        <w:t> </w:t>
      </w:r>
      <w:r>
        <w:rPr/>
        <w:t>will</w:t>
      </w:r>
      <w:r>
        <w:rPr>
          <w:spacing w:val="1"/>
        </w:rPr>
        <w:t> </w:t>
      </w:r>
      <w:r>
        <w:rPr/>
        <w:t>shows us how.</w:t>
      </w:r>
    </w:p>
    <w:p>
      <w:pPr>
        <w:pStyle w:val="BodyText"/>
        <w:spacing w:before="7"/>
        <w:ind w:left="0"/>
      </w:pPr>
    </w:p>
    <w:p>
      <w:pPr>
        <w:pStyle w:val="Heading2"/>
        <w:rPr>
          <w:rFonts w:ascii="Segoe UI"/>
        </w:rPr>
      </w:pPr>
      <w:r>
        <w:rPr>
          <w:rFonts w:ascii="Segoe UI"/>
          <w:color w:val="1F1F1E"/>
        </w:rPr>
        <w:t>Literature</w:t>
      </w:r>
      <w:r>
        <w:rPr>
          <w:rFonts w:ascii="Segoe UI"/>
          <w:color w:val="1F1F1E"/>
          <w:spacing w:val="-4"/>
        </w:rPr>
        <w:t> </w:t>
      </w:r>
      <w:r>
        <w:rPr>
          <w:rFonts w:ascii="Segoe UI"/>
          <w:color w:val="1F1F1E"/>
        </w:rPr>
        <w:t>review</w:t>
      </w:r>
    </w:p>
    <w:p>
      <w:pPr>
        <w:pStyle w:val="BodyText"/>
        <w:spacing w:line="480" w:lineRule="auto" w:before="277"/>
        <w:ind w:right="443"/>
      </w:pPr>
      <w:r>
        <w:rPr/>
        <w:t>Research on climate change and health impacts has increased in number and significance in the</w:t>
      </w:r>
      <w:r>
        <w:rPr>
          <w:spacing w:val="-57"/>
        </w:rPr>
        <w:t> </w:t>
      </w:r>
      <w:r>
        <w:rPr/>
        <w:t>last</w:t>
      </w:r>
      <w:r>
        <w:rPr>
          <w:spacing w:val="-1"/>
        </w:rPr>
        <w:t> </w:t>
      </w:r>
      <w:r>
        <w:rPr/>
        <w:t>few</w:t>
      </w:r>
      <w:r>
        <w:rPr>
          <w:spacing w:val="3"/>
        </w:rPr>
        <w:t> </w:t>
      </w:r>
      <w:r>
        <w:rPr/>
        <w:t>years</w:t>
      </w:r>
      <w:r>
        <w:rPr>
          <w:spacing w:val="-2"/>
        </w:rPr>
        <w:t> </w:t>
      </w:r>
      <w:r>
        <w:rPr/>
        <w:t>since</w:t>
      </w:r>
      <w:r>
        <w:rPr>
          <w:spacing w:val="-3"/>
        </w:rPr>
        <w:t> </w:t>
      </w:r>
      <w:r>
        <w:rPr/>
        <w:t>the</w:t>
      </w:r>
      <w:r>
        <w:rPr>
          <w:spacing w:val="2"/>
        </w:rPr>
        <w:t> </w:t>
      </w:r>
      <w:r>
        <w:rPr/>
        <w:t>IPCC’s</w:t>
      </w:r>
      <w:r>
        <w:rPr>
          <w:spacing w:val="-1"/>
        </w:rPr>
        <w:t> </w:t>
      </w:r>
      <w:r>
        <w:rPr/>
        <w:t>5th</w:t>
      </w:r>
      <w:r>
        <w:rPr>
          <w:spacing w:val="-1"/>
        </w:rPr>
        <w:t> </w:t>
      </w:r>
      <w:r>
        <w:rPr/>
        <w:t>Assessment</w:t>
      </w:r>
      <w:r>
        <w:rPr>
          <w:spacing w:val="-1"/>
        </w:rPr>
        <w:t> </w:t>
      </w:r>
      <w:r>
        <w:rPr/>
        <w:t>Report</w:t>
      </w:r>
      <w:r>
        <w:rPr>
          <w:spacing w:val="-1"/>
        </w:rPr>
        <w:t> </w:t>
      </w:r>
      <w:r>
        <w:rPr/>
        <w:t>in</w:t>
      </w:r>
      <w:r>
        <w:rPr>
          <w:spacing w:val="1"/>
        </w:rPr>
        <w:t> </w:t>
      </w:r>
      <w:r>
        <w:rPr/>
        <w:t>2014</w:t>
      </w:r>
      <w:r>
        <w:rPr>
          <w:spacing w:val="-1"/>
        </w:rPr>
        <w:t> </w:t>
      </w:r>
      <w:r>
        <w:rPr/>
        <w:t>(McMichael,</w:t>
      </w:r>
      <w:r>
        <w:rPr>
          <w:spacing w:val="-1"/>
        </w:rPr>
        <w:t> </w:t>
      </w:r>
      <w:r>
        <w:rPr/>
        <w:t>et al.,</w:t>
      </w:r>
      <w:r>
        <w:rPr>
          <w:spacing w:val="-1"/>
        </w:rPr>
        <w:t> </w:t>
      </w:r>
      <w:r>
        <w:rPr/>
        <w:t>2014).</w:t>
      </w:r>
    </w:p>
    <w:p>
      <w:pPr>
        <w:pStyle w:val="BodyText"/>
        <w:spacing w:line="480" w:lineRule="auto" w:before="1"/>
        <w:ind w:right="317"/>
      </w:pPr>
      <w:r>
        <w:rPr/>
        <w:t>Published research about climate change impacts, heat-related mortality and morbidity, and</w:t>
      </w:r>
      <w:r>
        <w:rPr>
          <w:spacing w:val="1"/>
        </w:rPr>
        <w:t> </w:t>
      </w:r>
      <w:r>
        <w:rPr/>
        <w:t>respiratory illness taking place in urban centers continue to lead the climate-health literature,</w:t>
      </w:r>
      <w:r>
        <w:rPr>
          <w:spacing w:val="1"/>
        </w:rPr>
        <w:t> </w:t>
      </w:r>
      <w:r>
        <w:rPr/>
        <w:t>reflected by the high proportion of articles published (S.L. Harper, et al., 2021). Yet, the volume</w:t>
      </w:r>
      <w:r>
        <w:rPr>
          <w:spacing w:val="-57"/>
        </w:rPr>
        <w:t> </w:t>
      </w:r>
      <w:r>
        <w:rPr/>
        <w:t>of information on climate change and health risks is now difficult to manage given its vast range</w:t>
      </w:r>
      <w:r>
        <w:rPr>
          <w:spacing w:val="-57"/>
        </w:rPr>
        <w:t> </w:t>
      </w:r>
      <w:r>
        <w:rPr/>
        <w:t>and extent across scientific journals, academic institutions, and disciplines. While an increasing</w:t>
      </w:r>
      <w:r>
        <w:rPr>
          <w:spacing w:val="1"/>
        </w:rPr>
        <w:t> </w:t>
      </w:r>
      <w:r>
        <w:rPr/>
        <w:t>number</w:t>
      </w:r>
      <w:r>
        <w:rPr>
          <w:spacing w:val="-3"/>
        </w:rPr>
        <w:t> </w:t>
      </w:r>
      <w:r>
        <w:rPr/>
        <w:t>of</w:t>
      </w:r>
      <w:r>
        <w:rPr>
          <w:spacing w:val="-1"/>
        </w:rPr>
        <w:t> </w:t>
      </w:r>
      <w:r>
        <w:rPr/>
        <w:t>studies</w:t>
      </w:r>
      <w:r>
        <w:rPr>
          <w:spacing w:val="-2"/>
        </w:rPr>
        <w:t> </w:t>
      </w:r>
      <w:r>
        <w:rPr/>
        <w:t>have</w:t>
      </w:r>
      <w:r>
        <w:rPr>
          <w:spacing w:val="-2"/>
        </w:rPr>
        <w:t> </w:t>
      </w:r>
      <w:r>
        <w:rPr/>
        <w:t>used</w:t>
      </w:r>
      <w:r>
        <w:rPr>
          <w:spacing w:val="-1"/>
        </w:rPr>
        <w:t> </w:t>
      </w:r>
      <w:r>
        <w:rPr/>
        <w:t>systematic</w:t>
      </w:r>
      <w:r>
        <w:rPr>
          <w:spacing w:val="-2"/>
        </w:rPr>
        <w:t> </w:t>
      </w:r>
      <w:r>
        <w:rPr/>
        <w:t>literature</w:t>
      </w:r>
      <w:r>
        <w:rPr>
          <w:spacing w:val="-1"/>
        </w:rPr>
        <w:t> </w:t>
      </w:r>
      <w:r>
        <w:rPr/>
        <w:t>reviews</w:t>
      </w:r>
      <w:r>
        <w:rPr>
          <w:spacing w:val="-1"/>
        </w:rPr>
        <w:t> </w:t>
      </w:r>
      <w:r>
        <w:rPr/>
        <w:t>to</w:t>
      </w:r>
      <w:r>
        <w:rPr>
          <w:spacing w:val="2"/>
        </w:rPr>
        <w:t> </w:t>
      </w:r>
      <w:r>
        <w:rPr/>
        <w:t>analyze</w:t>
      </w:r>
      <w:r>
        <w:rPr>
          <w:spacing w:val="-2"/>
        </w:rPr>
        <w:t> </w:t>
      </w:r>
      <w:r>
        <w:rPr/>
        <w:t>health</w:t>
      </w:r>
      <w:r>
        <w:rPr>
          <w:spacing w:val="1"/>
        </w:rPr>
        <w:t> </w:t>
      </w:r>
      <w:r>
        <w:rPr/>
        <w:t>outcomes</w:t>
      </w:r>
      <w:r>
        <w:rPr>
          <w:spacing w:val="-1"/>
        </w:rPr>
        <w:t> </w:t>
      </w:r>
      <w:r>
        <w:rPr/>
        <w:t>of</w:t>
      </w:r>
      <w:r>
        <w:rPr>
          <w:spacing w:val="-1"/>
        </w:rPr>
        <w:t> </w:t>
      </w:r>
      <w:r>
        <w:rPr/>
        <w:t>climatic</w:t>
      </w:r>
      <w:r>
        <w:rPr>
          <w:spacing w:val="-57"/>
        </w:rPr>
        <w:t> </w:t>
      </w:r>
      <w:r>
        <w:rPr/>
        <w:t>effects within this rapidly growing field of climate and health research, there is still missing an</w:t>
      </w:r>
      <w:r>
        <w:rPr>
          <w:spacing w:val="1"/>
        </w:rPr>
        <w:t> </w:t>
      </w:r>
      <w:r>
        <w:rPr/>
        <w:t>overall analysis of the current state of climate change and health systems </w:t>
      </w:r>
      <w:r>
        <w:rPr>
          <w:sz w:val="22"/>
        </w:rPr>
        <w:t>and how it </w:t>
      </w:r>
      <w:r>
        <w:rPr/>
        <w:t>should be</w:t>
      </w:r>
      <w:r>
        <w:rPr>
          <w:spacing w:val="1"/>
        </w:rPr>
        <w:t> </w:t>
      </w:r>
      <w:r>
        <w:rPr/>
        <w:t>prepared for potentially enhanced disease risks related to climate change, which is expected to</w:t>
      </w:r>
      <w:r>
        <w:rPr>
          <w:spacing w:val="1"/>
        </w:rPr>
        <w:t> </w:t>
      </w:r>
      <w:r>
        <w:rPr/>
        <w:t>affect</w:t>
      </w:r>
      <w:r>
        <w:rPr>
          <w:spacing w:val="-1"/>
        </w:rPr>
        <w:t> </w:t>
      </w:r>
      <w:r>
        <w:rPr/>
        <w:t>the</w:t>
      </w:r>
      <w:r>
        <w:rPr>
          <w:spacing w:val="-1"/>
        </w:rPr>
        <w:t> </w:t>
      </w:r>
      <w:r>
        <w:rPr/>
        <w:t>frequency</w:t>
      </w:r>
      <w:r>
        <w:rPr>
          <w:spacing w:val="-5"/>
        </w:rPr>
        <w:t> </w:t>
      </w:r>
      <w:r>
        <w:rPr/>
        <w:t>and</w:t>
      </w:r>
      <w:r>
        <w:rPr>
          <w:spacing w:val="2"/>
        </w:rPr>
        <w:t> </w:t>
      </w:r>
      <w:r>
        <w:rPr/>
        <w:t>severity</w:t>
      </w:r>
      <w:r>
        <w:rPr>
          <w:spacing w:val="-5"/>
        </w:rPr>
        <w:t> </w:t>
      </w:r>
      <w:r>
        <w:rPr/>
        <w:t>of existing</w:t>
      </w:r>
      <w:r>
        <w:rPr>
          <w:spacing w:val="-2"/>
        </w:rPr>
        <w:t> </w:t>
      </w:r>
      <w:r>
        <w:rPr/>
        <w:t>diseases (Smith et al., 2014).</w:t>
      </w:r>
    </w:p>
    <w:p>
      <w:pPr>
        <w:pStyle w:val="BodyText"/>
        <w:spacing w:line="480" w:lineRule="auto" w:before="200"/>
        <w:ind w:right="277"/>
      </w:pPr>
      <w:r>
        <w:rPr/>
        <w:t>The critical challenge moving forward is how to strengthen the current health care system into a</w:t>
      </w:r>
      <w:r>
        <w:rPr>
          <w:spacing w:val="1"/>
        </w:rPr>
        <w:t> </w:t>
      </w:r>
      <w:r>
        <w:rPr/>
        <w:t>more coherent and pragmatic disaster resilient strategic approach theory that in turn can better</w:t>
      </w:r>
      <w:r>
        <w:rPr>
          <w:spacing w:val="1"/>
        </w:rPr>
        <w:t> </w:t>
      </w:r>
      <w:r>
        <w:rPr/>
        <w:t>guide science of adaptation and support adaptation policy and practice (Nalau &amp; Verrall, 2021).</w:t>
      </w:r>
      <w:r>
        <w:rPr>
          <w:spacing w:val="1"/>
        </w:rPr>
        <w:t> </w:t>
      </w:r>
      <w:r>
        <w:rPr/>
        <w:t>Moreover, we now acknowledged the important component of the international climate change</w:t>
      </w:r>
      <w:r>
        <w:rPr>
          <w:spacing w:val="1"/>
        </w:rPr>
        <w:t> </w:t>
      </w:r>
      <w:r>
        <w:rPr/>
        <w:t>policy, research agenda and health risks nexus. As climate change can influence the type and</w:t>
      </w:r>
      <w:r>
        <w:rPr>
          <w:spacing w:val="1"/>
        </w:rPr>
        <w:t> </w:t>
      </w:r>
      <w:r>
        <w:rPr/>
        <w:t>extent of health impacts that will be also affected by a large number of physical, environ,</w:t>
      </w:r>
      <w:r>
        <w:rPr>
          <w:spacing w:val="1"/>
        </w:rPr>
        <w:t> </w:t>
      </w:r>
      <w:r>
        <w:rPr/>
        <w:t>economic and social variables connected to health (Brown et al., 2011), this research should</w:t>
      </w:r>
      <w:r>
        <w:rPr>
          <w:spacing w:val="1"/>
        </w:rPr>
        <w:t> </w:t>
      </w:r>
      <w:r>
        <w:rPr/>
        <w:t>provide</w:t>
      </w:r>
      <w:r>
        <w:rPr>
          <w:spacing w:val="-1"/>
        </w:rPr>
        <w:t> </w:t>
      </w:r>
      <w:r>
        <w:rPr/>
        <w:t>knowledge for</w:t>
      </w:r>
      <w:r>
        <w:rPr>
          <w:spacing w:val="-3"/>
        </w:rPr>
        <w:t> </w:t>
      </w:r>
      <w:r>
        <w:rPr/>
        <w:t>decision-makers</w:t>
      </w:r>
      <w:r>
        <w:rPr>
          <w:spacing w:val="-1"/>
        </w:rPr>
        <w:t> </w:t>
      </w:r>
      <w:r>
        <w:rPr/>
        <w:t>to</w:t>
      </w:r>
      <w:r>
        <w:rPr>
          <w:spacing w:val="-1"/>
        </w:rPr>
        <w:t> </w:t>
      </w:r>
      <w:r>
        <w:rPr/>
        <w:t>use</w:t>
      </w:r>
      <w:r>
        <w:rPr>
          <w:spacing w:val="-2"/>
        </w:rPr>
        <w:t> </w:t>
      </w:r>
      <w:r>
        <w:rPr/>
        <w:t>to</w:t>
      </w:r>
      <w:r>
        <w:rPr>
          <w:spacing w:val="1"/>
        </w:rPr>
        <w:t> </w:t>
      </w:r>
      <w:r>
        <w:rPr/>
        <w:t>enhance policies</w:t>
      </w:r>
      <w:r>
        <w:rPr>
          <w:spacing w:val="-1"/>
        </w:rPr>
        <w:t> </w:t>
      </w:r>
      <w:r>
        <w:rPr/>
        <w:t>based</w:t>
      </w:r>
      <w:r>
        <w:rPr>
          <w:spacing w:val="-1"/>
        </w:rPr>
        <w:t> </w:t>
      </w:r>
      <w:r>
        <w:rPr/>
        <w:t>on</w:t>
      </w:r>
      <w:r>
        <w:rPr>
          <w:spacing w:val="-1"/>
        </w:rPr>
        <w:t> </w:t>
      </w:r>
      <w:r>
        <w:rPr/>
        <w:t>climate</w:t>
      </w:r>
      <w:r>
        <w:rPr>
          <w:spacing w:val="-2"/>
        </w:rPr>
        <w:t> </w:t>
      </w:r>
      <w:r>
        <w:rPr/>
        <w:t>science.</w:t>
      </w:r>
      <w:r>
        <w:rPr>
          <w:spacing w:val="-1"/>
        </w:rPr>
        <w:t> </w:t>
      </w:r>
      <w:r>
        <w:rPr/>
        <w:t>As</w:t>
      </w:r>
      <w:r>
        <w:rPr>
          <w:spacing w:val="-1"/>
        </w:rPr>
        <w:t> </w:t>
      </w:r>
      <w:r>
        <w:rPr/>
        <w:t>a</w:t>
      </w:r>
    </w:p>
    <w:p>
      <w:pPr>
        <w:spacing w:after="0" w:line="480" w:lineRule="auto"/>
        <w:sectPr>
          <w:pgSz w:w="12240" w:h="15840"/>
          <w:pgMar w:top="1340" w:bottom="280" w:left="1220" w:right="1180"/>
        </w:sectPr>
      </w:pPr>
    </w:p>
    <w:p>
      <w:pPr>
        <w:pStyle w:val="BodyText"/>
        <w:spacing w:line="480" w:lineRule="auto" w:before="72"/>
        <w:ind w:right="131"/>
      </w:pPr>
      <w:r>
        <w:rPr/>
        <w:t>result, the proposed research will narrow the existing gap of policy interest in urban climate health</w:t>
      </w:r>
      <w:r>
        <w:rPr>
          <w:spacing w:val="-57"/>
        </w:rPr>
        <w:t> </w:t>
      </w:r>
      <w:r>
        <w:rPr/>
        <w:t>risk and recommends a systems view of risk assessment and proactive approach to risk</w:t>
      </w:r>
      <w:r>
        <w:rPr>
          <w:spacing w:val="1"/>
        </w:rPr>
        <w:t> </w:t>
      </w:r>
      <w:r>
        <w:rPr/>
        <w:t>management through a shared response at local and international levels that would become</w:t>
      </w:r>
      <w:r>
        <w:rPr>
          <w:spacing w:val="1"/>
        </w:rPr>
        <w:t> </w:t>
      </w:r>
      <w:r>
        <w:rPr/>
        <w:t>increasingly important to measuring vulnerabilities and build resilient capacity to prepare, absorb,</w:t>
      </w:r>
      <w:r>
        <w:rPr>
          <w:spacing w:val="1"/>
        </w:rPr>
        <w:t> </w:t>
      </w:r>
      <w:r>
        <w:rPr/>
        <w:t>recover, and adapt</w:t>
      </w:r>
      <w:r>
        <w:rPr>
          <w:spacing w:val="1"/>
        </w:rPr>
        <w:t> </w:t>
      </w:r>
      <w:r>
        <w:rPr/>
        <w:t>in the face of disturbances such as natural and anthropogenic disasters,</w:t>
      </w:r>
      <w:r>
        <w:rPr>
          <w:spacing w:val="1"/>
        </w:rPr>
        <w:t> </w:t>
      </w:r>
      <w:r>
        <w:rPr/>
        <w:t>including those driven</w:t>
      </w:r>
      <w:r>
        <w:rPr>
          <w:spacing w:val="1"/>
        </w:rPr>
        <w:t> </w:t>
      </w:r>
      <w:r>
        <w:rPr/>
        <w:t>by changing climate and related conditions (Goldsmith, 2016). Henceforth,</w:t>
      </w:r>
      <w:r>
        <w:rPr>
          <w:spacing w:val="-57"/>
        </w:rPr>
        <w:t> </w:t>
      </w:r>
      <w:r>
        <w:rPr/>
        <w:t>a health risk impact assessment of policies, plans, and projects and the understanding of the</w:t>
      </w:r>
      <w:r>
        <w:rPr>
          <w:spacing w:val="1"/>
        </w:rPr>
        <w:t> </w:t>
      </w:r>
      <w:r>
        <w:rPr/>
        <w:t>interactions between people, the environment and climate are critical when implementing</w:t>
      </w:r>
      <w:r>
        <w:rPr>
          <w:spacing w:val="1"/>
        </w:rPr>
        <w:t> </w:t>
      </w:r>
      <w:r>
        <w:rPr/>
        <w:t>adaptation strategies designed to assess the potential health impacts of climate change (Brown, H.,</w:t>
      </w:r>
      <w:r>
        <w:rPr>
          <w:spacing w:val="-57"/>
        </w:rPr>
        <w:t> </w:t>
      </w:r>
      <w:r>
        <w:rPr/>
        <w:t>Spickett, J., and Katscherian, D., 2014). People with</w:t>
      </w:r>
      <w:r>
        <w:rPr>
          <w:spacing w:val="1"/>
        </w:rPr>
        <w:t> </w:t>
      </w:r>
      <w:r>
        <w:rPr/>
        <w:t>health conditions are more likely to be</w:t>
      </w:r>
      <w:r>
        <w:rPr>
          <w:spacing w:val="1"/>
        </w:rPr>
        <w:t> </w:t>
      </w:r>
      <w:r>
        <w:rPr/>
        <w:t>affected by extreme events and in some cases these events exacerbate their current health</w:t>
      </w:r>
      <w:r>
        <w:rPr>
          <w:spacing w:val="1"/>
        </w:rPr>
        <w:t> </w:t>
      </w:r>
      <w:r>
        <w:rPr/>
        <w:t>conditions. Psychiatric medications can interfere with a person’s ability to regulate heat and their</w:t>
      </w:r>
      <w:r>
        <w:rPr>
          <w:spacing w:val="1"/>
        </w:rPr>
        <w:t> </w:t>
      </w:r>
      <w:r>
        <w:rPr/>
        <w:t>awareness that their body temperature is rising, creating detri consequences associated with injury</w:t>
      </w:r>
      <w:r>
        <w:rPr>
          <w:spacing w:val="1"/>
        </w:rPr>
        <w:t> </w:t>
      </w:r>
      <w:r>
        <w:rPr/>
        <w:t>and death. Poverty and</w:t>
      </w:r>
      <w:r>
        <w:rPr>
          <w:spacing w:val="1"/>
        </w:rPr>
        <w:t> </w:t>
      </w:r>
      <w:r>
        <w:rPr/>
        <w:t>health are intrinsically connected. . In addition, those with severe</w:t>
      </w:r>
      <w:r>
        <w:rPr>
          <w:spacing w:val="60"/>
        </w:rPr>
        <w:t> </w:t>
      </w:r>
      <w:r>
        <w:rPr/>
        <w:t>illness</w:t>
      </w:r>
      <w:r>
        <w:rPr>
          <w:spacing w:val="1"/>
        </w:rPr>
        <w:t> </w:t>
      </w:r>
      <w:r>
        <w:rPr/>
        <w:t>are more likely to be dependent upon service, infrastructure, and medication supply chains that are</w:t>
      </w:r>
      <w:r>
        <w:rPr>
          <w:spacing w:val="-57"/>
        </w:rPr>
        <w:t> </w:t>
      </w:r>
      <w:r>
        <w:rPr/>
        <w:t>often</w:t>
      </w:r>
      <w:r>
        <w:rPr>
          <w:spacing w:val="-1"/>
        </w:rPr>
        <w:t> </w:t>
      </w:r>
      <w:r>
        <w:rPr/>
        <w:t>disrupted after disasters (Ursano,</w:t>
      </w:r>
      <w:r>
        <w:rPr>
          <w:spacing w:val="2"/>
        </w:rPr>
        <w:t> </w:t>
      </w:r>
      <w:r>
        <w:rPr/>
        <w:t>et al., 2020;</w:t>
      </w:r>
      <w:r>
        <w:rPr>
          <w:spacing w:val="-1"/>
        </w:rPr>
        <w:t> </w:t>
      </w:r>
      <w:r>
        <w:rPr/>
        <w:t>Arnberg, et</w:t>
      </w:r>
      <w:r>
        <w:rPr>
          <w:spacing w:val="2"/>
        </w:rPr>
        <w:t> </w:t>
      </w:r>
      <w:r>
        <w:rPr/>
        <w:t>al., 2013).</w:t>
      </w:r>
    </w:p>
    <w:p>
      <w:pPr>
        <w:pStyle w:val="BodyText"/>
        <w:spacing w:line="480" w:lineRule="auto" w:before="202"/>
        <w:ind w:right="123"/>
      </w:pPr>
      <w:r>
        <w:rPr/>
        <w:t>Henceforth, natural and human-caused disasters can leave a devastating impact on people’s health.</w:t>
      </w:r>
      <w:r>
        <w:rPr>
          <w:spacing w:val="-57"/>
        </w:rPr>
        <w:t> </w:t>
      </w:r>
      <w:r>
        <w:rPr/>
        <w:t>Psychological harm is closely correlated to personal injuries. A person going through the</w:t>
      </w:r>
      <w:r>
        <w:rPr>
          <w:spacing w:val="1"/>
        </w:rPr>
        <w:t> </w:t>
      </w:r>
      <w:r>
        <w:rPr/>
        <w:t>experience of the death of a family member, friend, or neighbor because of the disaster can be a</w:t>
      </w:r>
      <w:r>
        <w:rPr>
          <w:spacing w:val="1"/>
        </w:rPr>
        <w:t> </w:t>
      </w:r>
      <w:r>
        <w:rPr/>
        <w:t>strong forecast of a health condition influx. Researchers have pointed out displacement, migration,</w:t>
      </w:r>
      <w:r>
        <w:rPr>
          <w:spacing w:val="-57"/>
        </w:rPr>
        <w:t> </w:t>
      </w:r>
      <w:r>
        <w:rPr/>
        <w:t>and the loss of personal assets and financial stability as factors that contribute to mental health</w:t>
      </w:r>
      <w:r>
        <w:rPr>
          <w:spacing w:val="1"/>
        </w:rPr>
        <w:t> </w:t>
      </w:r>
      <w:r>
        <w:rPr/>
        <w:t>issues,</w:t>
      </w:r>
      <w:r>
        <w:rPr>
          <w:spacing w:val="-1"/>
        </w:rPr>
        <w:t> </w:t>
      </w:r>
      <w:r>
        <w:rPr/>
        <w:t>such as posttraumatic</w:t>
      </w:r>
      <w:r>
        <w:rPr>
          <w:spacing w:val="-2"/>
        </w:rPr>
        <w:t> </w:t>
      </w:r>
      <w:r>
        <w:rPr/>
        <w:t>stress  disorder (PTSD)</w:t>
      </w:r>
      <w:r>
        <w:rPr>
          <w:spacing w:val="-2"/>
        </w:rPr>
        <w:t> </w:t>
      </w:r>
      <w:r>
        <w:rPr/>
        <w:t>and depression</w:t>
      </w:r>
      <w:r>
        <w:rPr>
          <w:spacing w:val="3"/>
        </w:rPr>
        <w:t> </w:t>
      </w:r>
      <w:r>
        <w:rPr/>
        <w:t>(Marolla,</w:t>
      </w:r>
      <w:r>
        <w:rPr>
          <w:spacing w:val="-1"/>
        </w:rPr>
        <w:t> </w:t>
      </w:r>
      <w:r>
        <w:rPr/>
        <w:t>2016).</w:t>
      </w:r>
    </w:p>
    <w:p>
      <w:pPr>
        <w:pStyle w:val="BodyText"/>
        <w:spacing w:line="482" w:lineRule="auto" w:before="200"/>
        <w:ind w:right="715"/>
      </w:pPr>
      <w:r>
        <w:rPr/>
        <w:t>Published research about climate change impacts, heat-related mortality and morbidity, and</w:t>
      </w:r>
      <w:r>
        <w:rPr>
          <w:spacing w:val="1"/>
        </w:rPr>
        <w:t> </w:t>
      </w:r>
      <w:r>
        <w:rPr/>
        <w:t>respiratory</w:t>
      </w:r>
      <w:r>
        <w:rPr>
          <w:spacing w:val="-6"/>
        </w:rPr>
        <w:t> </w:t>
      </w:r>
      <w:r>
        <w:rPr/>
        <w:t>illness taking</w:t>
      </w:r>
      <w:r>
        <w:rPr>
          <w:spacing w:val="-2"/>
        </w:rPr>
        <w:t> </w:t>
      </w:r>
      <w:r>
        <w:rPr/>
        <w:t>place</w:t>
      </w:r>
      <w:r>
        <w:rPr>
          <w:spacing w:val="-1"/>
        </w:rPr>
        <w:t> </w:t>
      </w:r>
      <w:r>
        <w:rPr/>
        <w:t>in</w:t>
      </w:r>
      <w:r>
        <w:rPr>
          <w:spacing w:val="-1"/>
        </w:rPr>
        <w:t> </w:t>
      </w:r>
      <w:r>
        <w:rPr/>
        <w:t>urban</w:t>
      </w:r>
      <w:r>
        <w:rPr>
          <w:spacing w:val="2"/>
        </w:rPr>
        <w:t> </w:t>
      </w:r>
      <w:r>
        <w:rPr/>
        <w:t>centers</w:t>
      </w:r>
      <w:r>
        <w:rPr>
          <w:spacing w:val="-1"/>
        </w:rPr>
        <w:t> </w:t>
      </w:r>
      <w:r>
        <w:rPr/>
        <w:t>continue</w:t>
      </w:r>
      <w:r>
        <w:rPr>
          <w:spacing w:val="-1"/>
        </w:rPr>
        <w:t> </w:t>
      </w:r>
      <w:r>
        <w:rPr/>
        <w:t>to</w:t>
      </w:r>
      <w:r>
        <w:rPr>
          <w:spacing w:val="-1"/>
        </w:rPr>
        <w:t> </w:t>
      </w:r>
      <w:r>
        <w:rPr/>
        <w:t>lead the</w:t>
      </w:r>
      <w:r>
        <w:rPr>
          <w:spacing w:val="-1"/>
        </w:rPr>
        <w:t> </w:t>
      </w:r>
      <w:r>
        <w:rPr/>
        <w:t>climate-health literature,</w:t>
      </w:r>
    </w:p>
    <w:p>
      <w:pPr>
        <w:spacing w:after="0" w:line="482" w:lineRule="auto"/>
        <w:sectPr>
          <w:pgSz w:w="12240" w:h="15840"/>
          <w:pgMar w:top="1340" w:bottom="280" w:left="1220" w:right="1180"/>
        </w:sectPr>
      </w:pPr>
    </w:p>
    <w:p>
      <w:pPr>
        <w:pStyle w:val="BodyText"/>
        <w:spacing w:line="480" w:lineRule="auto" w:before="72"/>
        <w:ind w:right="200"/>
      </w:pPr>
      <w:r>
        <w:rPr/>
        <w:t>reflected by the high proportion of articles published (Harper, et al., 2021). Yet, the volume of</w:t>
      </w:r>
      <w:r>
        <w:rPr>
          <w:spacing w:val="1"/>
        </w:rPr>
        <w:t> </w:t>
      </w:r>
      <w:r>
        <w:rPr/>
        <w:t>information</w:t>
      </w:r>
      <w:r>
        <w:rPr>
          <w:spacing w:val="-1"/>
        </w:rPr>
        <w:t> </w:t>
      </w:r>
      <w:r>
        <w:rPr/>
        <w:t>on</w:t>
      </w:r>
      <w:r>
        <w:rPr>
          <w:spacing w:val="-1"/>
        </w:rPr>
        <w:t> </w:t>
      </w:r>
      <w:r>
        <w:rPr/>
        <w:t>climate</w:t>
      </w:r>
      <w:r>
        <w:rPr>
          <w:spacing w:val="-1"/>
        </w:rPr>
        <w:t> </w:t>
      </w:r>
      <w:r>
        <w:rPr/>
        <w:t>change</w:t>
      </w:r>
      <w:r>
        <w:rPr>
          <w:spacing w:val="-2"/>
        </w:rPr>
        <w:t> </w:t>
      </w:r>
      <w:r>
        <w:rPr/>
        <w:t>and</w:t>
      </w:r>
      <w:r>
        <w:rPr>
          <w:spacing w:val="-1"/>
        </w:rPr>
        <w:t> </w:t>
      </w:r>
      <w:r>
        <w:rPr/>
        <w:t>health risks</w:t>
      </w:r>
      <w:r>
        <w:rPr>
          <w:spacing w:val="-1"/>
        </w:rPr>
        <w:t> </w:t>
      </w:r>
      <w:r>
        <w:rPr/>
        <w:t>is</w:t>
      </w:r>
      <w:r>
        <w:rPr>
          <w:spacing w:val="-1"/>
        </w:rPr>
        <w:t> </w:t>
      </w:r>
      <w:r>
        <w:rPr/>
        <w:t>now</w:t>
      </w:r>
      <w:r>
        <w:rPr>
          <w:spacing w:val="-1"/>
        </w:rPr>
        <w:t> </w:t>
      </w:r>
      <w:r>
        <w:rPr/>
        <w:t>difficult</w:t>
      </w:r>
      <w:r>
        <w:rPr>
          <w:spacing w:val="-1"/>
        </w:rPr>
        <w:t> </w:t>
      </w:r>
      <w:r>
        <w:rPr/>
        <w:t>to manage given</w:t>
      </w:r>
      <w:r>
        <w:rPr>
          <w:spacing w:val="-1"/>
        </w:rPr>
        <w:t> </w:t>
      </w:r>
      <w:r>
        <w:rPr/>
        <w:t>its</w:t>
      </w:r>
      <w:r>
        <w:rPr>
          <w:spacing w:val="-1"/>
        </w:rPr>
        <w:t> </w:t>
      </w:r>
      <w:r>
        <w:rPr/>
        <w:t>vast</w:t>
      </w:r>
      <w:r>
        <w:rPr>
          <w:spacing w:val="-1"/>
        </w:rPr>
        <w:t> </w:t>
      </w:r>
      <w:r>
        <w:rPr/>
        <w:t>range</w:t>
      </w:r>
      <w:r>
        <w:rPr>
          <w:spacing w:val="2"/>
        </w:rPr>
        <w:t> </w:t>
      </w:r>
      <w:r>
        <w:rPr/>
        <w:t>and</w:t>
      </w:r>
      <w:r>
        <w:rPr>
          <w:spacing w:val="-57"/>
        </w:rPr>
        <w:t> </w:t>
      </w:r>
      <w:r>
        <w:rPr/>
        <w:t>extent across scientific journals, academic institutions, and disciplines. While an increasing</w:t>
      </w:r>
      <w:r>
        <w:rPr>
          <w:spacing w:val="1"/>
        </w:rPr>
        <w:t> </w:t>
      </w:r>
      <w:r>
        <w:rPr/>
        <w:t>number of studies have used systematic literature reviews to analyze health outcomes of climatic</w:t>
      </w:r>
      <w:r>
        <w:rPr>
          <w:spacing w:val="1"/>
        </w:rPr>
        <w:t> </w:t>
      </w:r>
      <w:r>
        <w:rPr/>
        <w:t>effects within this rapidly growing field of climate and health research, there is still missing an</w:t>
      </w:r>
      <w:r>
        <w:rPr>
          <w:spacing w:val="1"/>
        </w:rPr>
        <w:t> </w:t>
      </w:r>
      <w:r>
        <w:rPr/>
        <w:t>overall analysis of the current state of climate change and health systems </w:t>
      </w:r>
      <w:r>
        <w:rPr>
          <w:sz w:val="22"/>
        </w:rPr>
        <w:t>and how it </w:t>
      </w:r>
      <w:r>
        <w:rPr/>
        <w:t>should be</w:t>
      </w:r>
      <w:r>
        <w:rPr>
          <w:spacing w:val="1"/>
        </w:rPr>
        <w:t> </w:t>
      </w:r>
      <w:r>
        <w:rPr/>
        <w:t>prepared for potentially enhanced disease risks related to climate change, which is expected to</w:t>
      </w:r>
      <w:r>
        <w:rPr>
          <w:spacing w:val="1"/>
        </w:rPr>
        <w:t> </w:t>
      </w:r>
      <w:r>
        <w:rPr/>
        <w:t>affect</w:t>
      </w:r>
      <w:r>
        <w:rPr>
          <w:spacing w:val="-1"/>
        </w:rPr>
        <w:t> </w:t>
      </w:r>
      <w:r>
        <w:rPr/>
        <w:t>the</w:t>
      </w:r>
      <w:r>
        <w:rPr>
          <w:spacing w:val="-1"/>
        </w:rPr>
        <w:t> </w:t>
      </w:r>
      <w:r>
        <w:rPr/>
        <w:t>frequency</w:t>
      </w:r>
      <w:r>
        <w:rPr>
          <w:spacing w:val="-5"/>
        </w:rPr>
        <w:t> </w:t>
      </w:r>
      <w:r>
        <w:rPr/>
        <w:t>and</w:t>
      </w:r>
      <w:r>
        <w:rPr>
          <w:spacing w:val="2"/>
        </w:rPr>
        <w:t> </w:t>
      </w:r>
      <w:r>
        <w:rPr/>
        <w:t>severity</w:t>
      </w:r>
      <w:r>
        <w:rPr>
          <w:spacing w:val="-5"/>
        </w:rPr>
        <w:t> </w:t>
      </w:r>
      <w:r>
        <w:rPr/>
        <w:t>of existing</w:t>
      </w:r>
      <w:r>
        <w:rPr>
          <w:spacing w:val="-2"/>
        </w:rPr>
        <w:t> </w:t>
      </w:r>
      <w:r>
        <w:rPr/>
        <w:t>diseases (Smith et al., 2014).</w:t>
      </w:r>
    </w:p>
    <w:p>
      <w:pPr>
        <w:pStyle w:val="BodyText"/>
        <w:spacing w:line="480" w:lineRule="auto" w:before="201"/>
        <w:ind w:right="336"/>
      </w:pPr>
      <w:r>
        <w:rPr/>
        <w:t>The critical challenge moving forward is how to strengthen the current state of cities into a more</w:t>
      </w:r>
      <w:r>
        <w:rPr>
          <w:spacing w:val="-57"/>
        </w:rPr>
        <w:t> </w:t>
      </w:r>
      <w:r>
        <w:rPr/>
        <w:t>coherent and pragmatic disaster resilient strategic approach theory that in turn can better guide</w:t>
      </w:r>
      <w:r>
        <w:rPr>
          <w:spacing w:val="1"/>
        </w:rPr>
        <w:t> </w:t>
      </w:r>
      <w:r>
        <w:rPr/>
        <w:t>science</w:t>
      </w:r>
      <w:r>
        <w:rPr>
          <w:spacing w:val="-2"/>
        </w:rPr>
        <w:t> </w:t>
      </w:r>
      <w:r>
        <w:rPr/>
        <w:t>of adaptation</w:t>
      </w:r>
      <w:r>
        <w:rPr>
          <w:spacing w:val="-1"/>
        </w:rPr>
        <w:t> </w:t>
      </w:r>
      <w:r>
        <w:rPr/>
        <w:t>and</w:t>
      </w:r>
      <w:r>
        <w:rPr>
          <w:spacing w:val="2"/>
        </w:rPr>
        <w:t> </w:t>
      </w:r>
      <w:r>
        <w:rPr/>
        <w:t>support adaptation</w:t>
      </w:r>
      <w:r>
        <w:rPr>
          <w:spacing w:val="-1"/>
        </w:rPr>
        <w:t> </w:t>
      </w:r>
      <w:r>
        <w:rPr/>
        <w:t>policy</w:t>
      </w:r>
      <w:r>
        <w:rPr>
          <w:spacing w:val="-3"/>
        </w:rPr>
        <w:t> </w:t>
      </w:r>
      <w:r>
        <w:rPr/>
        <w:t>and practice</w:t>
      </w:r>
      <w:r>
        <w:rPr>
          <w:spacing w:val="-2"/>
        </w:rPr>
        <w:t> </w:t>
      </w:r>
      <w:r>
        <w:rPr/>
        <w:t>(Nalau</w:t>
      </w:r>
      <w:r>
        <w:rPr>
          <w:spacing w:val="1"/>
        </w:rPr>
        <w:t> </w:t>
      </w:r>
      <w:r>
        <w:rPr/>
        <w:t>&amp;</w:t>
      </w:r>
      <w:r>
        <w:rPr>
          <w:spacing w:val="1"/>
        </w:rPr>
        <w:t> </w:t>
      </w:r>
      <w:r>
        <w:rPr/>
        <w:t>Verrall,</w:t>
      </w:r>
      <w:r>
        <w:rPr>
          <w:spacing w:val="-1"/>
        </w:rPr>
        <w:t> </w:t>
      </w:r>
      <w:r>
        <w:rPr/>
        <w:t>2021).</w:t>
      </w:r>
    </w:p>
    <w:p>
      <w:pPr>
        <w:pStyle w:val="BodyText"/>
        <w:spacing w:line="480" w:lineRule="auto"/>
        <w:ind w:right="138"/>
      </w:pPr>
      <w:r>
        <w:rPr/>
        <w:t>Moreover, we now acknowledged the important component of the international climate change</w:t>
      </w:r>
      <w:r>
        <w:rPr>
          <w:spacing w:val="1"/>
        </w:rPr>
        <w:t> </w:t>
      </w:r>
      <w:r>
        <w:rPr/>
        <w:t>policy, research agenda and health risks nexus. Mitchell, et al. (1989), and Cutter, et al. (2000)</w:t>
      </w:r>
      <w:r>
        <w:rPr>
          <w:spacing w:val="1"/>
        </w:rPr>
        <w:t> </w:t>
      </w:r>
      <w:r>
        <w:rPr/>
        <w:t>introduced the concept</w:t>
      </w:r>
      <w:r>
        <w:rPr>
          <w:spacing w:val="1"/>
        </w:rPr>
        <w:t> </w:t>
      </w:r>
      <w:r>
        <w:rPr/>
        <w:t>that patterns of vulnerability to hazards are contingent upon the physical,</w:t>
      </w:r>
      <w:r>
        <w:rPr>
          <w:spacing w:val="1"/>
        </w:rPr>
        <w:t> </w:t>
      </w:r>
      <w:r>
        <w:rPr/>
        <w:t>technological, social, economic and political realities of the system under consideration. While</w:t>
      </w:r>
      <w:r>
        <w:rPr>
          <w:spacing w:val="1"/>
        </w:rPr>
        <w:t> </w:t>
      </w:r>
      <w:r>
        <w:rPr/>
        <w:t>vulnerability</w:t>
      </w:r>
      <w:r>
        <w:rPr>
          <w:spacing w:val="-7"/>
        </w:rPr>
        <w:t> </w:t>
      </w:r>
      <w:r>
        <w:rPr/>
        <w:t>is</w:t>
      </w:r>
      <w:r>
        <w:rPr>
          <w:spacing w:val="-1"/>
        </w:rPr>
        <w:t> </w:t>
      </w:r>
      <w:r>
        <w:rPr/>
        <w:t>in</w:t>
      </w:r>
      <w:r>
        <w:rPr>
          <w:spacing w:val="1"/>
        </w:rPr>
        <w:t> </w:t>
      </w:r>
      <w:r>
        <w:rPr/>
        <w:t>general</w:t>
      </w:r>
      <w:r>
        <w:rPr>
          <w:spacing w:val="-2"/>
        </w:rPr>
        <w:t> </w:t>
      </w:r>
      <w:r>
        <w:rPr/>
        <w:t>hazard-specific,</w:t>
      </w:r>
      <w:r>
        <w:rPr>
          <w:spacing w:val="-1"/>
        </w:rPr>
        <w:t> </w:t>
      </w:r>
      <w:r>
        <w:rPr/>
        <w:t>certain factors,</w:t>
      </w:r>
      <w:r>
        <w:rPr>
          <w:spacing w:val="-1"/>
        </w:rPr>
        <w:t> </w:t>
      </w:r>
      <w:r>
        <w:rPr/>
        <w:t>exacerbates</w:t>
      </w:r>
      <w:r>
        <w:rPr>
          <w:spacing w:val="-1"/>
        </w:rPr>
        <w:t> </w:t>
      </w:r>
      <w:r>
        <w:rPr/>
        <w:t>or</w:t>
      </w:r>
      <w:r>
        <w:rPr>
          <w:spacing w:val="-2"/>
        </w:rPr>
        <w:t> </w:t>
      </w:r>
      <w:r>
        <w:rPr/>
        <w:t>affect</w:t>
      </w:r>
      <w:r>
        <w:rPr>
          <w:spacing w:val="-1"/>
        </w:rPr>
        <w:t> </w:t>
      </w:r>
      <w:r>
        <w:rPr/>
        <w:t>vulnerability</w:t>
      </w:r>
      <w:r>
        <w:rPr>
          <w:spacing w:val="-6"/>
        </w:rPr>
        <w:t> </w:t>
      </w:r>
      <w:r>
        <w:rPr/>
        <w:t>levels</w:t>
      </w:r>
      <w:r>
        <w:rPr>
          <w:spacing w:val="-57"/>
        </w:rPr>
        <w:t> </w:t>
      </w:r>
      <w:r>
        <w:rPr/>
        <w:t>irrespective</w:t>
      </w:r>
      <w:r>
        <w:rPr>
          <w:spacing w:val="-2"/>
        </w:rPr>
        <w:t> </w:t>
      </w:r>
      <w:r>
        <w:rPr/>
        <w:t>of the</w:t>
      </w:r>
      <w:r>
        <w:rPr>
          <w:spacing w:val="-2"/>
        </w:rPr>
        <w:t> </w:t>
      </w:r>
      <w:r>
        <w:rPr/>
        <w:t>type</w:t>
      </w:r>
      <w:r>
        <w:rPr>
          <w:spacing w:val="-1"/>
        </w:rPr>
        <w:t> </w:t>
      </w:r>
      <w:r>
        <w:rPr/>
        <w:t>of hazard</w:t>
      </w:r>
      <w:r>
        <w:rPr>
          <w:spacing w:val="59"/>
        </w:rPr>
        <w:t> </w:t>
      </w:r>
      <w:r>
        <w:rPr/>
        <w:t>(Cardona, et al.,</w:t>
      </w:r>
      <w:r>
        <w:rPr>
          <w:spacing w:val="1"/>
        </w:rPr>
        <w:t> </w:t>
      </w:r>
      <w:r>
        <w:rPr/>
        <w:t>2012)</w:t>
      </w:r>
      <w:r>
        <w:rPr>
          <w:spacing w:val="-1"/>
        </w:rPr>
        <w:t> </w:t>
      </w:r>
      <w:r>
        <w:rPr/>
        <w:t>and determine</w:t>
      </w:r>
      <w:r>
        <w:rPr>
          <w:spacing w:val="2"/>
        </w:rPr>
        <w:t> </w:t>
      </w:r>
      <w:r>
        <w:rPr/>
        <w:t>exposure</w:t>
      </w:r>
      <w:r>
        <w:rPr>
          <w:spacing w:val="-2"/>
        </w:rPr>
        <w:t> </w:t>
      </w:r>
      <w:r>
        <w:rPr/>
        <w:t>and</w:t>
      </w:r>
    </w:p>
    <w:p>
      <w:pPr>
        <w:pStyle w:val="BodyText"/>
        <w:spacing w:before="1"/>
      </w:pPr>
      <w:r>
        <w:rPr/>
        <w:t>vulnerabilities</w:t>
      </w:r>
      <w:r>
        <w:rPr>
          <w:spacing w:val="-1"/>
        </w:rPr>
        <w:t> </w:t>
      </w:r>
      <w:r>
        <w:rPr/>
        <w:t>and</w:t>
      </w:r>
      <w:r>
        <w:rPr>
          <w:spacing w:val="59"/>
        </w:rPr>
        <w:t> </w:t>
      </w:r>
      <w:r>
        <w:rPr/>
        <w:t>situated within</w:t>
      </w:r>
      <w:r>
        <w:rPr>
          <w:spacing w:val="-1"/>
        </w:rPr>
        <w:t> </w:t>
      </w:r>
      <w:r>
        <w:rPr/>
        <w:t>theories of</w:t>
      </w:r>
      <w:r>
        <w:rPr>
          <w:spacing w:val="-2"/>
        </w:rPr>
        <w:t> </w:t>
      </w:r>
      <w:r>
        <w:rPr/>
        <w:t>place</w:t>
      </w:r>
      <w:r>
        <w:rPr>
          <w:spacing w:val="-1"/>
        </w:rPr>
        <w:t> </w:t>
      </w:r>
      <w:r>
        <w:rPr/>
        <w:t>and</w:t>
      </w:r>
      <w:r>
        <w:rPr>
          <w:spacing w:val="-1"/>
        </w:rPr>
        <w:t> </w:t>
      </w:r>
      <w:r>
        <w:rPr/>
        <w:t>place</w:t>
      </w:r>
      <w:r>
        <w:rPr>
          <w:spacing w:val="-1"/>
        </w:rPr>
        <w:t> </w:t>
      </w:r>
      <w:r>
        <w:rPr/>
        <w:t>based-vulnerability</w:t>
      </w:r>
      <w:r>
        <w:rPr>
          <w:spacing w:val="-6"/>
        </w:rPr>
        <w:t> </w:t>
      </w:r>
      <w:r>
        <w:rPr/>
        <w:t>(</w:t>
      </w:r>
      <w:r>
        <w:rPr>
          <w:color w:val="000000"/>
          <w:shd w:fill="FBFBFB" w:color="auto" w:val="clear"/>
        </w:rPr>
        <w:t>Lawal</w:t>
      </w:r>
      <w:r>
        <w:rPr>
          <w:color w:val="000000"/>
          <w:spacing w:val="2"/>
          <w:shd w:fill="FBFBFB" w:color="auto" w:val="clear"/>
        </w:rPr>
        <w:t> </w:t>
      </w:r>
      <w:r>
        <w:rPr>
          <w:color w:val="000000"/>
          <w:shd w:fill="FBFBFB" w:color="auto" w:val="clear"/>
        </w:rPr>
        <w:t>&amp;</w:t>
      </w:r>
    </w:p>
    <w:p>
      <w:pPr>
        <w:pStyle w:val="BodyText"/>
        <w:spacing w:before="2"/>
        <w:ind w:left="0"/>
        <w:rPr>
          <w:sz w:val="16"/>
        </w:rPr>
      </w:pPr>
    </w:p>
    <w:p>
      <w:pPr>
        <w:pStyle w:val="BodyText"/>
        <w:spacing w:line="482" w:lineRule="auto" w:before="90"/>
        <w:ind w:right="130"/>
      </w:pPr>
      <w:r>
        <w:rPr>
          <w:color w:val="000000"/>
          <w:shd w:fill="FBFBFB" w:color="auto" w:val="clear"/>
        </w:rPr>
        <w:t>Osayomi,</w:t>
      </w:r>
      <w:r>
        <w:rPr>
          <w:color w:val="000000"/>
          <w:spacing w:val="58"/>
          <w:shd w:fill="FBFBFB" w:color="auto" w:val="clear"/>
        </w:rPr>
        <w:t> </w:t>
      </w:r>
      <w:r>
        <w:rPr>
          <w:color w:val="000000"/>
          <w:shd w:fill="FBFBFB" w:color="auto" w:val="clear"/>
        </w:rPr>
        <w:t>2021).</w:t>
      </w:r>
      <w:r>
        <w:rPr>
          <w:color w:val="000000"/>
          <w:spacing w:val="59"/>
          <w:shd w:fill="FBFBFB" w:color="auto" w:val="clear"/>
        </w:rPr>
        <w:t> </w:t>
      </w:r>
      <w:r>
        <w:rPr>
          <w:color w:val="000000"/>
        </w:rPr>
        <w:t>The</w:t>
      </w:r>
      <w:r>
        <w:rPr>
          <w:color w:val="000000"/>
          <w:spacing w:val="-3"/>
        </w:rPr>
        <w:t> </w:t>
      </w:r>
      <w:r>
        <w:rPr>
          <w:color w:val="000000"/>
        </w:rPr>
        <w:t>vulnerabilities can</w:t>
      </w:r>
      <w:r>
        <w:rPr>
          <w:color w:val="000000"/>
          <w:spacing w:val="-1"/>
        </w:rPr>
        <w:t> </w:t>
      </w:r>
      <w:r>
        <w:rPr>
          <w:color w:val="000000"/>
        </w:rPr>
        <w:t>be</w:t>
      </w:r>
      <w:r>
        <w:rPr>
          <w:color w:val="000000"/>
          <w:spacing w:val="-2"/>
        </w:rPr>
        <w:t> </w:t>
      </w:r>
      <w:r>
        <w:rPr>
          <w:color w:val="000000"/>
        </w:rPr>
        <w:t>highlighted by</w:t>
      </w:r>
      <w:r>
        <w:rPr>
          <w:color w:val="000000"/>
          <w:spacing w:val="-6"/>
        </w:rPr>
        <w:t> </w:t>
      </w:r>
      <w:r>
        <w:rPr>
          <w:color w:val="000000"/>
        </w:rPr>
        <w:t>different</w:t>
      </w:r>
      <w:r>
        <w:rPr>
          <w:color w:val="000000"/>
          <w:spacing w:val="-1"/>
        </w:rPr>
        <w:t> </w:t>
      </w:r>
      <w:r>
        <w:rPr>
          <w:color w:val="000000"/>
        </w:rPr>
        <w:t>categories that</w:t>
      </w:r>
      <w:r>
        <w:rPr>
          <w:color w:val="000000"/>
          <w:spacing w:val="-1"/>
        </w:rPr>
        <w:t> </w:t>
      </w:r>
      <w:r>
        <w:rPr>
          <w:color w:val="000000"/>
        </w:rPr>
        <w:t>emphasize</w:t>
      </w:r>
      <w:r>
        <w:rPr>
          <w:color w:val="000000"/>
          <w:spacing w:val="-1"/>
        </w:rPr>
        <w:t> </w:t>
      </w:r>
      <w:r>
        <w:rPr>
          <w:color w:val="000000"/>
        </w:rPr>
        <w:t>the</w:t>
      </w:r>
      <w:r>
        <w:rPr>
          <w:color w:val="000000"/>
          <w:spacing w:val="-57"/>
        </w:rPr>
        <w:t> </w:t>
      </w:r>
      <w:r>
        <w:rPr>
          <w:color w:val="000000"/>
        </w:rPr>
        <w:t>factors</w:t>
      </w:r>
      <w:r>
        <w:rPr>
          <w:color w:val="000000"/>
          <w:spacing w:val="4"/>
        </w:rPr>
        <w:t> </w:t>
      </w:r>
      <w:r>
        <w:rPr>
          <w:color w:val="000000"/>
        </w:rPr>
        <w:t>that</w:t>
      </w:r>
      <w:r>
        <w:rPr>
          <w:color w:val="000000"/>
          <w:spacing w:val="4"/>
        </w:rPr>
        <w:t> </w:t>
      </w:r>
      <w:r>
        <w:rPr>
          <w:color w:val="000000"/>
        </w:rPr>
        <w:t>determine</w:t>
      </w:r>
      <w:r>
        <w:rPr>
          <w:color w:val="000000"/>
          <w:spacing w:val="3"/>
        </w:rPr>
        <w:t> </w:t>
      </w:r>
      <w:r>
        <w:rPr>
          <w:color w:val="000000"/>
        </w:rPr>
        <w:t>a</w:t>
      </w:r>
      <w:r>
        <w:rPr>
          <w:color w:val="000000"/>
          <w:spacing w:val="4"/>
        </w:rPr>
        <w:t> </w:t>
      </w:r>
      <w:r>
        <w:rPr>
          <w:color w:val="000000"/>
        </w:rPr>
        <w:t>poor</w:t>
      </w:r>
      <w:r>
        <w:rPr>
          <w:color w:val="000000"/>
          <w:spacing w:val="4"/>
        </w:rPr>
        <w:t> </w:t>
      </w:r>
      <w:r>
        <w:rPr>
          <w:color w:val="000000"/>
        </w:rPr>
        <w:t>response</w:t>
      </w:r>
      <w:r>
        <w:rPr>
          <w:color w:val="000000"/>
          <w:spacing w:val="4"/>
        </w:rPr>
        <w:t> </w:t>
      </w:r>
      <w:r>
        <w:rPr>
          <w:color w:val="000000"/>
        </w:rPr>
        <w:t>to</w:t>
      </w:r>
      <w:r>
        <w:rPr>
          <w:color w:val="000000"/>
          <w:spacing w:val="4"/>
        </w:rPr>
        <w:t> </w:t>
      </w:r>
      <w:r>
        <w:rPr>
          <w:color w:val="000000"/>
        </w:rPr>
        <w:t>climate</w:t>
      </w:r>
      <w:r>
        <w:rPr>
          <w:color w:val="000000"/>
          <w:spacing w:val="6"/>
        </w:rPr>
        <w:t> </w:t>
      </w:r>
      <w:r>
        <w:rPr>
          <w:color w:val="000000"/>
        </w:rPr>
        <w:t>change.</w:t>
      </w:r>
      <w:r>
        <w:rPr>
          <w:color w:val="000000"/>
          <w:spacing w:val="4"/>
        </w:rPr>
        <w:t> </w:t>
      </w:r>
      <w:r>
        <w:rPr>
          <w:color w:val="000000"/>
        </w:rPr>
        <w:t>These</w:t>
      </w:r>
      <w:r>
        <w:rPr>
          <w:color w:val="000000"/>
          <w:spacing w:val="3"/>
        </w:rPr>
        <w:t> </w:t>
      </w:r>
      <w:r>
        <w:rPr>
          <w:color w:val="000000"/>
        </w:rPr>
        <w:t>vulnerabilities</w:t>
      </w:r>
      <w:r>
        <w:rPr>
          <w:color w:val="000000"/>
          <w:spacing w:val="5"/>
        </w:rPr>
        <w:t> </w:t>
      </w:r>
      <w:r>
        <w:rPr>
          <w:color w:val="000000"/>
        </w:rPr>
        <w:t>are</w:t>
      </w:r>
      <w:r>
        <w:rPr>
          <w:color w:val="000000"/>
          <w:spacing w:val="2"/>
        </w:rPr>
        <w:t> </w:t>
      </w:r>
      <w:r>
        <w:rPr>
          <w:color w:val="000000"/>
        </w:rPr>
        <w:t>differentiated</w:t>
      </w:r>
      <w:r>
        <w:rPr>
          <w:color w:val="000000"/>
          <w:spacing w:val="1"/>
        </w:rPr>
        <w:t> </w:t>
      </w:r>
      <w:r>
        <w:rPr>
          <w:color w:val="000000"/>
        </w:rPr>
        <w:t>as follows:</w:t>
      </w:r>
    </w:p>
    <w:p>
      <w:pPr>
        <w:pStyle w:val="ListParagraph"/>
        <w:numPr>
          <w:ilvl w:val="0"/>
          <w:numId w:val="1"/>
        </w:numPr>
        <w:tabs>
          <w:tab w:pos="941" w:val="left" w:leader="none"/>
        </w:tabs>
        <w:spacing w:line="240" w:lineRule="auto" w:before="194" w:after="0"/>
        <w:ind w:left="940" w:right="0" w:hanging="361"/>
        <w:jc w:val="left"/>
        <w:rPr>
          <w:sz w:val="24"/>
        </w:rPr>
      </w:pPr>
      <w:r>
        <w:rPr>
          <w:sz w:val="24"/>
        </w:rPr>
        <w:t>Health</w:t>
      </w:r>
      <w:r>
        <w:rPr>
          <w:spacing w:val="-2"/>
          <w:sz w:val="24"/>
        </w:rPr>
        <w:t> </w:t>
      </w:r>
      <w:r>
        <w:rPr>
          <w:sz w:val="24"/>
        </w:rPr>
        <w:t>impacts</w:t>
      </w:r>
      <w:r>
        <w:rPr>
          <w:spacing w:val="-1"/>
          <w:sz w:val="24"/>
        </w:rPr>
        <w:t> </w:t>
      </w:r>
      <w:r>
        <w:rPr>
          <w:sz w:val="24"/>
        </w:rPr>
        <w:t>such</w:t>
      </w:r>
      <w:r>
        <w:rPr>
          <w:spacing w:val="-1"/>
          <w:sz w:val="24"/>
        </w:rPr>
        <w:t> </w:t>
      </w:r>
      <w:r>
        <w:rPr>
          <w:sz w:val="24"/>
        </w:rPr>
        <w:t>as climate-sensitive</w:t>
      </w:r>
      <w:r>
        <w:rPr>
          <w:spacing w:val="-1"/>
          <w:sz w:val="24"/>
        </w:rPr>
        <w:t> </w:t>
      </w:r>
      <w:r>
        <w:rPr>
          <w:sz w:val="24"/>
        </w:rPr>
        <w:t>infectious</w:t>
      </w:r>
      <w:r>
        <w:rPr>
          <w:spacing w:val="-1"/>
          <w:sz w:val="24"/>
        </w:rPr>
        <w:t> </w:t>
      </w:r>
      <w:r>
        <w:rPr>
          <w:sz w:val="24"/>
        </w:rPr>
        <w:t>diseases</w:t>
      </w:r>
      <w:r>
        <w:rPr>
          <w:spacing w:val="-2"/>
          <w:sz w:val="24"/>
        </w:rPr>
        <w:t> </w:t>
      </w:r>
      <w:r>
        <w:rPr>
          <w:sz w:val="24"/>
        </w:rPr>
        <w:t>of</w:t>
      </w:r>
      <w:r>
        <w:rPr>
          <w:spacing w:val="-1"/>
          <w:sz w:val="24"/>
        </w:rPr>
        <w:t> </w:t>
      </w:r>
      <w:r>
        <w:rPr>
          <w:sz w:val="24"/>
        </w:rPr>
        <w:t>public</w:t>
      </w:r>
      <w:r>
        <w:rPr>
          <w:spacing w:val="-1"/>
          <w:sz w:val="24"/>
        </w:rPr>
        <w:t> </w:t>
      </w:r>
      <w:r>
        <w:rPr>
          <w:sz w:val="24"/>
        </w:rPr>
        <w:t>concern.</w:t>
      </w:r>
    </w:p>
    <w:p>
      <w:pPr>
        <w:spacing w:after="0" w:line="240" w:lineRule="auto"/>
        <w:jc w:val="left"/>
        <w:rPr>
          <w:sz w:val="24"/>
        </w:rPr>
        <w:sectPr>
          <w:pgSz w:w="12240" w:h="15840"/>
          <w:pgMar w:top="1340" w:bottom="280" w:left="1220" w:right="1180"/>
        </w:sectPr>
      </w:pPr>
    </w:p>
    <w:p>
      <w:pPr>
        <w:pStyle w:val="ListParagraph"/>
        <w:numPr>
          <w:ilvl w:val="0"/>
          <w:numId w:val="1"/>
        </w:numPr>
        <w:tabs>
          <w:tab w:pos="941" w:val="left" w:leader="none"/>
        </w:tabs>
        <w:spacing w:line="482" w:lineRule="auto" w:before="72" w:after="0"/>
        <w:ind w:left="940" w:right="325" w:hanging="360"/>
        <w:jc w:val="left"/>
        <w:rPr>
          <w:sz w:val="24"/>
        </w:rPr>
      </w:pPr>
      <w:r>
        <w:rPr>
          <w:sz w:val="24"/>
        </w:rPr>
        <w:t>Social</w:t>
      </w:r>
      <w:r>
        <w:rPr>
          <w:spacing w:val="-2"/>
          <w:sz w:val="24"/>
        </w:rPr>
        <w:t> </w:t>
      </w:r>
      <w:r>
        <w:rPr>
          <w:sz w:val="24"/>
        </w:rPr>
        <w:t>impacts,</w:t>
      </w:r>
      <w:r>
        <w:rPr>
          <w:spacing w:val="-1"/>
          <w:sz w:val="24"/>
        </w:rPr>
        <w:t> </w:t>
      </w:r>
      <w:r>
        <w:rPr>
          <w:sz w:val="24"/>
        </w:rPr>
        <w:t>which</w:t>
      </w:r>
      <w:r>
        <w:rPr>
          <w:spacing w:val="-1"/>
          <w:sz w:val="24"/>
        </w:rPr>
        <w:t> </w:t>
      </w:r>
      <w:r>
        <w:rPr>
          <w:sz w:val="24"/>
        </w:rPr>
        <w:t>are</w:t>
      </w:r>
      <w:r>
        <w:rPr>
          <w:spacing w:val="-2"/>
          <w:sz w:val="24"/>
        </w:rPr>
        <w:t> </w:t>
      </w:r>
      <w:r>
        <w:rPr>
          <w:sz w:val="24"/>
        </w:rPr>
        <w:t>factors</w:t>
      </w:r>
      <w:r>
        <w:rPr>
          <w:spacing w:val="-1"/>
          <w:sz w:val="24"/>
        </w:rPr>
        <w:t> </w:t>
      </w:r>
      <w:r>
        <w:rPr>
          <w:sz w:val="24"/>
        </w:rPr>
        <w:t>that</w:t>
      </w:r>
      <w:r>
        <w:rPr>
          <w:spacing w:val="-1"/>
          <w:sz w:val="24"/>
        </w:rPr>
        <w:t> </w:t>
      </w:r>
      <w:r>
        <w:rPr>
          <w:sz w:val="24"/>
        </w:rPr>
        <w:t>determine an</w:t>
      </w:r>
      <w:r>
        <w:rPr>
          <w:spacing w:val="-1"/>
          <w:sz w:val="24"/>
        </w:rPr>
        <w:t> </w:t>
      </w:r>
      <w:r>
        <w:rPr>
          <w:sz w:val="24"/>
        </w:rPr>
        <w:t>ineffective</w:t>
      </w:r>
      <w:r>
        <w:rPr>
          <w:spacing w:val="-2"/>
          <w:sz w:val="24"/>
        </w:rPr>
        <w:t> </w:t>
      </w:r>
      <w:r>
        <w:rPr>
          <w:sz w:val="24"/>
        </w:rPr>
        <w:t>reaction</w:t>
      </w:r>
      <w:r>
        <w:rPr>
          <w:spacing w:val="-1"/>
          <w:sz w:val="24"/>
        </w:rPr>
        <w:t> </w:t>
      </w:r>
      <w:r>
        <w:rPr>
          <w:sz w:val="24"/>
        </w:rPr>
        <w:t>to</w:t>
      </w:r>
      <w:r>
        <w:rPr>
          <w:spacing w:val="-1"/>
          <w:sz w:val="24"/>
        </w:rPr>
        <w:t> </w:t>
      </w:r>
      <w:r>
        <w:rPr>
          <w:sz w:val="24"/>
        </w:rPr>
        <w:t>climate</w:t>
      </w:r>
      <w:r>
        <w:rPr>
          <w:spacing w:val="-2"/>
          <w:sz w:val="24"/>
        </w:rPr>
        <w:t> </w:t>
      </w:r>
      <w:r>
        <w:rPr>
          <w:sz w:val="24"/>
        </w:rPr>
        <w:t>change</w:t>
      </w:r>
      <w:r>
        <w:rPr>
          <w:spacing w:val="-57"/>
          <w:sz w:val="24"/>
        </w:rPr>
        <w:t> </w:t>
      </w:r>
      <w:r>
        <w:rPr>
          <w:sz w:val="24"/>
        </w:rPr>
        <w:t>risks</w:t>
      </w:r>
      <w:r>
        <w:rPr>
          <w:spacing w:val="-1"/>
          <w:sz w:val="24"/>
        </w:rPr>
        <w:t> </w:t>
      </w:r>
      <w:r>
        <w:rPr>
          <w:sz w:val="24"/>
        </w:rPr>
        <w:t>(Confalonieri et</w:t>
      </w:r>
      <w:r>
        <w:rPr>
          <w:spacing w:val="1"/>
          <w:sz w:val="24"/>
        </w:rPr>
        <w:t> </w:t>
      </w:r>
      <w:r>
        <w:rPr>
          <w:sz w:val="24"/>
        </w:rPr>
        <w:t>al,</w:t>
      </w:r>
      <w:r>
        <w:rPr>
          <w:spacing w:val="2"/>
          <w:sz w:val="24"/>
        </w:rPr>
        <w:t> </w:t>
      </w:r>
      <w:r>
        <w:rPr>
          <w:sz w:val="24"/>
        </w:rPr>
        <w:t>2009; Ebi, et al., 2017).</w:t>
      </w:r>
    </w:p>
    <w:p>
      <w:pPr>
        <w:pStyle w:val="BodyText"/>
        <w:spacing w:line="499" w:lineRule="auto" w:before="195"/>
        <w:ind w:right="213"/>
      </w:pPr>
      <w:r>
        <w:rPr/>
        <w:t>The methodological-theoretical framework below was based on a general “exposure-response”</w:t>
      </w:r>
      <w:r>
        <w:rPr>
          <w:spacing w:val="1"/>
        </w:rPr>
        <w:t> </w:t>
      </w:r>
      <w:r>
        <w:rPr/>
        <w:t>modeling (Wang, 2015). Identification of proximate drivers of vulnerabilities, ranging from</w:t>
      </w:r>
      <w:r>
        <w:rPr>
          <w:spacing w:val="1"/>
        </w:rPr>
        <w:t> </w:t>
      </w:r>
      <w:r>
        <w:rPr/>
        <w:t>individual characteristics such as age, sexual category and physical aptitude to social-environ</w:t>
      </w:r>
      <w:r>
        <w:rPr>
          <w:spacing w:val="1"/>
        </w:rPr>
        <w:t> </w:t>
      </w:r>
      <w:r>
        <w:rPr/>
        <w:t>characteristics such as geographical features, is included. Furthermore, the magnitude and timing</w:t>
      </w:r>
      <w:r>
        <w:rPr>
          <w:spacing w:val="1"/>
        </w:rPr>
        <w:t> </w:t>
      </w:r>
      <w:r>
        <w:rPr/>
        <w:t>of</w:t>
      </w:r>
      <w:r>
        <w:rPr>
          <w:spacing w:val="-2"/>
        </w:rPr>
        <w:t> </w:t>
      </w:r>
      <w:r>
        <w:rPr/>
        <w:t>human</w:t>
      </w:r>
      <w:r>
        <w:rPr>
          <w:spacing w:val="-1"/>
        </w:rPr>
        <w:t> </w:t>
      </w:r>
      <w:r>
        <w:rPr/>
        <w:t>exposures</w:t>
      </w:r>
      <w:r>
        <w:rPr>
          <w:spacing w:val="-1"/>
        </w:rPr>
        <w:t> </w:t>
      </w:r>
      <w:r>
        <w:rPr/>
        <w:t>to</w:t>
      </w:r>
      <w:r>
        <w:rPr>
          <w:spacing w:val="-1"/>
        </w:rPr>
        <w:t> </w:t>
      </w:r>
      <w:r>
        <w:rPr/>
        <w:t>climatic</w:t>
      </w:r>
      <w:r>
        <w:rPr>
          <w:spacing w:val="-1"/>
        </w:rPr>
        <w:t> </w:t>
      </w:r>
      <w:r>
        <w:rPr/>
        <w:t>hazards, and</w:t>
      </w:r>
      <w:r>
        <w:rPr>
          <w:spacing w:val="-1"/>
        </w:rPr>
        <w:t> </w:t>
      </w:r>
      <w:r>
        <w:rPr/>
        <w:t>the</w:t>
      </w:r>
      <w:r>
        <w:rPr>
          <w:spacing w:val="-1"/>
        </w:rPr>
        <w:t> </w:t>
      </w:r>
      <w:r>
        <w:rPr/>
        <w:t>capacity</w:t>
      </w:r>
      <w:r>
        <w:rPr>
          <w:spacing w:val="-6"/>
        </w:rPr>
        <w:t> </w:t>
      </w:r>
      <w:r>
        <w:rPr/>
        <w:t>and</w:t>
      </w:r>
      <w:r>
        <w:rPr>
          <w:spacing w:val="1"/>
        </w:rPr>
        <w:t> </w:t>
      </w:r>
      <w:r>
        <w:rPr/>
        <w:t>effectiveness</w:t>
      </w:r>
      <w:r>
        <w:rPr>
          <w:spacing w:val="2"/>
        </w:rPr>
        <w:t> </w:t>
      </w:r>
      <w:r>
        <w:rPr/>
        <w:t>of</w:t>
      </w:r>
      <w:r>
        <w:rPr>
          <w:spacing w:val="-1"/>
        </w:rPr>
        <w:t> </w:t>
      </w:r>
      <w:r>
        <w:rPr/>
        <w:t>the</w:t>
      </w:r>
      <w:r>
        <w:rPr>
          <w:spacing w:val="-3"/>
        </w:rPr>
        <w:t> </w:t>
      </w:r>
      <w:r>
        <w:rPr/>
        <w:t>responses</w:t>
      </w:r>
      <w:r>
        <w:rPr>
          <w:spacing w:val="-1"/>
        </w:rPr>
        <w:t> </w:t>
      </w:r>
      <w:r>
        <w:rPr/>
        <w:t>to</w:t>
      </w:r>
      <w:r>
        <w:rPr>
          <w:spacing w:val="-1"/>
        </w:rPr>
        <w:t> </w:t>
      </w:r>
      <w:r>
        <w:rPr/>
        <w:t>the</w:t>
      </w:r>
      <w:r>
        <w:rPr>
          <w:spacing w:val="-57"/>
        </w:rPr>
        <w:t> </w:t>
      </w:r>
      <w:r>
        <w:rPr/>
        <w:t>impacts resulting from exposures, were modulated to incorporate all aspects of vulnerability to</w:t>
      </w:r>
      <w:r>
        <w:rPr>
          <w:spacing w:val="1"/>
        </w:rPr>
        <w:t> </w:t>
      </w:r>
      <w:r>
        <w:rPr/>
        <w:t>health impacts of climate. Structural characteristics such as education, income, governance and</w:t>
      </w:r>
      <w:r>
        <w:rPr>
          <w:spacing w:val="1"/>
        </w:rPr>
        <w:t> </w:t>
      </w:r>
      <w:r>
        <w:rPr/>
        <w:t>political power, which were called “primary” or “ultimate” drivers of vulnerability, are shown on</w:t>
      </w:r>
      <w:r>
        <w:rPr>
          <w:spacing w:val="1"/>
        </w:rPr>
        <w:t> </w:t>
      </w:r>
      <w:r>
        <w:rPr/>
        <w:t>the bottom right of Figure 1.1, as well as the ultimate consequences of climate change impacts,</w:t>
      </w:r>
      <w:r>
        <w:rPr>
          <w:spacing w:val="1"/>
        </w:rPr>
        <w:t> </w:t>
      </w:r>
      <w:r>
        <w:rPr/>
        <w:t>which</w:t>
      </w:r>
      <w:r>
        <w:rPr>
          <w:spacing w:val="2"/>
        </w:rPr>
        <w:t> </w:t>
      </w:r>
      <w:r>
        <w:rPr/>
        <w:t>are</w:t>
      </w:r>
      <w:r>
        <w:rPr>
          <w:spacing w:val="1"/>
        </w:rPr>
        <w:t> </w:t>
      </w:r>
      <w:r>
        <w:rPr/>
        <w:t>morbidity</w:t>
      </w:r>
      <w:r>
        <w:rPr>
          <w:spacing w:val="-3"/>
        </w:rPr>
        <w:t> </w:t>
      </w:r>
      <w:r>
        <w:rPr/>
        <w:t>and</w:t>
      </w:r>
      <w:r>
        <w:rPr>
          <w:spacing w:val="5"/>
        </w:rPr>
        <w:t> </w:t>
      </w:r>
      <w:r>
        <w:rPr/>
        <w:t>mortality</w:t>
      </w:r>
      <w:r>
        <w:rPr>
          <w:spacing w:val="-3"/>
        </w:rPr>
        <w:t> </w:t>
      </w:r>
      <w:r>
        <w:rPr/>
        <w:t>as</w:t>
      </w:r>
      <w:r>
        <w:rPr>
          <w:spacing w:val="3"/>
        </w:rPr>
        <w:t> </w:t>
      </w:r>
      <w:r>
        <w:rPr/>
        <w:t>a</w:t>
      </w:r>
      <w:r>
        <w:rPr>
          <w:spacing w:val="3"/>
        </w:rPr>
        <w:t> </w:t>
      </w:r>
      <w:r>
        <w:rPr/>
        <w:t>result</w:t>
      </w:r>
      <w:r>
        <w:rPr>
          <w:spacing w:val="3"/>
        </w:rPr>
        <w:t> </w:t>
      </w:r>
      <w:r>
        <w:rPr/>
        <w:t>of</w:t>
      </w:r>
      <w:r>
        <w:rPr>
          <w:spacing w:val="2"/>
        </w:rPr>
        <w:t> </w:t>
      </w:r>
      <w:r>
        <w:rPr/>
        <w:t>social</w:t>
      </w:r>
      <w:r>
        <w:rPr>
          <w:spacing w:val="3"/>
        </w:rPr>
        <w:t> </w:t>
      </w:r>
      <w:r>
        <w:rPr/>
        <w:t>incapability</w:t>
      </w:r>
      <w:r>
        <w:rPr>
          <w:spacing w:val="-1"/>
        </w:rPr>
        <w:t> </w:t>
      </w:r>
      <w:r>
        <w:rPr/>
        <w:t>and</w:t>
      </w:r>
      <w:r>
        <w:rPr>
          <w:spacing w:val="3"/>
        </w:rPr>
        <w:t> </w:t>
      </w:r>
      <w:r>
        <w:rPr/>
        <w:t>response</w:t>
      </w:r>
      <w:r>
        <w:rPr>
          <w:spacing w:val="2"/>
        </w:rPr>
        <w:t> </w:t>
      </w:r>
      <w:r>
        <w:rPr/>
        <w:t>to</w:t>
      </w:r>
      <w:r>
        <w:rPr>
          <w:spacing w:val="3"/>
        </w:rPr>
        <w:t> </w:t>
      </w:r>
      <w:r>
        <w:rPr/>
        <w:t>climate</w:t>
      </w:r>
      <w:r>
        <w:rPr>
          <w:spacing w:val="1"/>
        </w:rPr>
        <w:t> </w:t>
      </w:r>
      <w:r>
        <w:rPr/>
        <w:t>change</w:t>
      </w:r>
      <w:r>
        <w:rPr>
          <w:spacing w:val="-2"/>
        </w:rPr>
        <w:t> </w:t>
      </w:r>
      <w:r>
        <w:rPr/>
        <w:t>impacts</w:t>
      </w:r>
      <w:r>
        <w:rPr>
          <w:spacing w:val="1"/>
        </w:rPr>
        <w:t> </w:t>
      </w:r>
      <w:r>
        <w:rPr/>
        <w:t>(Confalonieri, et al.,</w:t>
      </w:r>
      <w:r>
        <w:rPr>
          <w:spacing w:val="1"/>
        </w:rPr>
        <w:t> </w:t>
      </w:r>
      <w:r>
        <w:rPr/>
        <w:t>2009).</w:t>
      </w:r>
    </w:p>
    <w:p>
      <w:pPr>
        <w:spacing w:after="0" w:line="499" w:lineRule="auto"/>
        <w:sectPr>
          <w:pgSz w:w="12240" w:h="15840"/>
          <w:pgMar w:top="1340" w:bottom="280" w:left="1220" w:right="1180"/>
        </w:sectPr>
      </w:pPr>
    </w:p>
    <w:p>
      <w:pPr>
        <w:pStyle w:val="BodyText"/>
        <w:rPr>
          <w:sz w:val="20"/>
        </w:rPr>
      </w:pPr>
      <w:r>
        <w:rPr>
          <w:sz w:val="20"/>
        </w:rPr>
        <w:pict>
          <v:group style="width:467.3pt;height:344.05pt;mso-position-horizontal-relative:char;mso-position-vertical-relative:line" id="docshapegroup1" coordorigin="0,0" coordsize="9346,6881">
            <v:rect style="position:absolute;left:0;top:0;width:9343;height:6877" id="docshape2" filled="true" fillcolor="#fbfbfb" stroked="false">
              <v:fill type="solid"/>
            </v:rect>
            <v:line style="position:absolute" from="6752,5" to="6752,2429" stroked="true" strokeweight=".33649pt" strokecolor="#d0d6e4">
              <v:stroke dashstyle="solid"/>
            </v:line>
            <v:rect style="position:absolute;left:6748;top:1;width:7;height:2432" id="docshape3" filled="true" fillcolor="#d0d6e4" stroked="false">
              <v:fill type="solid"/>
            </v:rect>
            <v:line style="position:absolute" from="6752,2571" to="6752,2699" stroked="true" strokeweight=".33649pt" strokecolor="#d0d6e4">
              <v:stroke dashstyle="solid"/>
            </v:line>
            <v:rect style="position:absolute;left:6748;top:2567;width:7;height:135" id="docshape4" filled="true" fillcolor="#d0d6e4" stroked="false">
              <v:fill type="solid"/>
            </v:rect>
            <v:line style="position:absolute" from="7614,5" to="7614,2699" stroked="true" strokeweight=".33649pt" strokecolor="#d0d6e4">
              <v:stroke dashstyle="solid"/>
            </v:line>
            <v:rect style="position:absolute;left:7610;top:1;width:7;height:2701" id="docshape5" filled="true" fillcolor="#d0d6e4" stroked="false">
              <v:fill type="solid"/>
            </v:rect>
            <v:line style="position:absolute" from="6752,2840" to="6752,3103" stroked="true" strokeweight=".33649pt" strokecolor="#d0d6e4">
              <v:stroke dashstyle="solid"/>
            </v:line>
            <v:rect style="position:absolute;left:6748;top:2836;width:7;height:270" id="docshape6" filled="true" fillcolor="#d0d6e4" stroked="false">
              <v:fill type="solid"/>
            </v:rect>
            <v:line style="position:absolute" from="6752,3244" to="6752,3776" stroked="true" strokeweight=".33649pt" strokecolor="#d0d6e4">
              <v:stroke dashstyle="solid"/>
            </v:line>
            <v:rect style="position:absolute;left:6748;top:3240;width:7;height:539" id="docshape7" filled="true" fillcolor="#d0d6e4" stroked="false">
              <v:fill type="solid"/>
            </v:rect>
            <v:line style="position:absolute" from="4,5" to="4,6881" stroked="true" strokeweight=".33649pt" strokecolor="#d0d6e4">
              <v:stroke dashstyle="solid"/>
            </v:line>
            <v:rect style="position:absolute;left:0;top:1;width:7;height:6876" id="docshape8" filled="true" fillcolor="#d0d6e4" stroked="false">
              <v:fill type="solid"/>
            </v:rect>
            <v:line style="position:absolute" from="435,5" to="435,6881" stroked="true" strokeweight=".33649pt" strokecolor="#d0d6e4">
              <v:stroke dashstyle="solid"/>
            </v:line>
            <v:rect style="position:absolute;left:431;top:1;width:7;height:6876" id="docshape9" filled="true" fillcolor="#d0d6e4" stroked="false">
              <v:fill type="solid"/>
            </v:rect>
            <v:line style="position:absolute" from="866,5" to="866,6881" stroked="true" strokeweight=".33649pt" strokecolor="#d0d6e4">
              <v:stroke dashstyle="solid"/>
            </v:line>
            <v:rect style="position:absolute;left:862;top:1;width:7;height:6876" id="docshape10" filled="true" fillcolor="#d0d6e4" stroked="false">
              <v:fill type="solid"/>
            </v:rect>
            <v:line style="position:absolute" from="1297,5" to="1297,6881" stroked="true" strokeweight=".33649pt" strokecolor="#d0d6e4">
              <v:stroke dashstyle="solid"/>
            </v:line>
            <v:rect style="position:absolute;left:1293;top:1;width:7;height:6876" id="docshape11" filled="true" fillcolor="#d0d6e4" stroked="false">
              <v:fill type="solid"/>
            </v:rect>
            <v:line style="position:absolute" from="1728,5" to="1728,6881" stroked="true" strokeweight=".33649pt" strokecolor="#d0d6e4">
              <v:stroke dashstyle="solid"/>
            </v:line>
            <v:rect style="position:absolute;left:1724;top:1;width:7;height:6876" id="docshape12" filled="true" fillcolor="#d0d6e4" stroked="false">
              <v:fill type="solid"/>
            </v:rect>
            <v:line style="position:absolute" from="2159,5" to="2159,6881" stroked="true" strokeweight=".33649pt" strokecolor="#d0d6e4">
              <v:stroke dashstyle="solid"/>
            </v:line>
            <v:rect style="position:absolute;left:2155;top:1;width:7;height:6876" id="docshape13" filled="true" fillcolor="#d0d6e4" stroked="false">
              <v:fill type="solid"/>
            </v:rect>
            <v:shape style="position:absolute;left:2590;top:4;width:2;height:6876" id="docshape14" coordorigin="2590,5" coordsize="0,6876" path="m2590,3364l2590,6881m2590,5l2590,3226e" filled="false" stroked="true" strokeweight=".33649pt" strokecolor="#d0d6e4">
              <v:path arrowok="t"/>
              <v:stroke dashstyle="solid"/>
            </v:shape>
            <v:shape style="position:absolute;left:2586;top:1;width:7;height:6876" id="docshape15" coordorigin="2587,1" coordsize="7,6876" path="m2593,3364l2587,3364,2587,6877,2593,6877,2593,3364xm2593,1l2587,1,2587,3226,2593,3226,2593,1xe" filled="true" fillcolor="#d0d6e4" stroked="false">
              <v:path arrowok="t"/>
              <v:fill type="solid"/>
            </v:shape>
            <v:shape style="position:absolute;left:3021;top:4;width:2;height:6876" id="docshape16" coordorigin="3021,5" coordsize="0,6876" path="m3021,3364l3021,6881m3021,5l3021,3226e" filled="false" stroked="true" strokeweight=".33649pt" strokecolor="#d0d6e4">
              <v:path arrowok="t"/>
              <v:stroke dashstyle="solid"/>
            </v:shape>
            <v:shape style="position:absolute;left:3017;top:1;width:7;height:6876" id="docshape17" coordorigin="3018,1" coordsize="7,6876" path="m3025,3364l3018,3364,3018,6877,3025,6877,3025,3364xm3025,1l3018,1,3018,3226,3025,3226,3025,1xe" filled="true" fillcolor="#d0d6e4" stroked="false">
              <v:path arrowok="t"/>
              <v:fill type="solid"/>
            </v:shape>
            <v:shape style="position:absolute;left:3452;top:4;width:2;height:6876" id="docshape18" coordorigin="3452,5" coordsize="0,6876" path="m3452,3364l3452,6881m3452,5l3452,3226e" filled="false" stroked="true" strokeweight=".33649pt" strokecolor="#d0d6e4">
              <v:path arrowok="t"/>
              <v:stroke dashstyle="solid"/>
            </v:shape>
            <v:shape style="position:absolute;left:3448;top:1;width:7;height:6876" id="docshape19" coordorigin="3449,1" coordsize="7,6876" path="m3456,3364l3449,3364,3449,6877,3456,6877,3456,3364xm3456,1l3449,1,3449,3226,3456,3226,3456,1xe" filled="true" fillcolor="#d0d6e4" stroked="false">
              <v:path arrowok="t"/>
              <v:fill type="solid"/>
            </v:shape>
            <v:shape style="position:absolute;left:3883;top:4;width:2;height:6876" id="docshape20" coordorigin="3883,5" coordsize="0,6876" path="m3883,3364l3883,6881m3883,5l3883,3226e" filled="false" stroked="true" strokeweight=".33649pt" strokecolor="#d0d6e4">
              <v:path arrowok="t"/>
              <v:stroke dashstyle="solid"/>
            </v:shape>
            <v:shape style="position:absolute;left:3879;top:1;width:7;height:6876" id="docshape21" coordorigin="3880,1" coordsize="7,6876" path="m3887,3364l3880,3364,3880,6877,3887,6877,3887,3364xm3887,1l3880,1,3880,3226,3887,3226,3887,1xe" filled="true" fillcolor="#d0d6e4" stroked="false">
              <v:path arrowok="t"/>
              <v:fill type="solid"/>
            </v:shape>
            <v:shape style="position:absolute;left:4314;top:4;width:2;height:6876" id="docshape22" coordorigin="4314,5" coordsize="0,6876" path="m4314,3364l4314,6881m4314,5l4314,3226e" filled="false" stroked="true" strokeweight=".33649pt" strokecolor="#d0d6e4">
              <v:path arrowok="t"/>
              <v:stroke dashstyle="solid"/>
            </v:shape>
            <v:shape style="position:absolute;left:4310;top:1;width:7;height:6876" id="docshape23" coordorigin="4311,1" coordsize="7,6876" path="m4318,3364l4311,3364,4311,6877,4318,6877,4318,3364xm4318,1l4311,1,4311,3226,4318,3226,4318,1xe" filled="true" fillcolor="#d0d6e4" stroked="false">
              <v:path arrowok="t"/>
              <v:fill type="solid"/>
            </v:shape>
            <v:line style="position:absolute" from="4745,5" to="4745,6881" stroked="true" strokeweight=".33649pt" strokecolor="#d0d6e4">
              <v:stroke dashstyle="solid"/>
            </v:line>
            <v:rect style="position:absolute;left:4741;top:1;width:7;height:6876" id="docshape24" filled="true" fillcolor="#d0d6e4" stroked="false">
              <v:fill type="solid"/>
            </v:rect>
            <v:line style="position:absolute" from="5176,5" to="5176,6881" stroked="true" strokeweight=".33649pt" strokecolor="#d0d6e4">
              <v:stroke dashstyle="solid"/>
            </v:line>
            <v:rect style="position:absolute;left:5172;top:1;width:7;height:6876" id="docshape25" filled="true" fillcolor="#d0d6e4" stroked="false">
              <v:fill type="solid"/>
            </v:rect>
            <v:line style="position:absolute" from="5607,5" to="5607,6881" stroked="true" strokeweight=".33649pt" strokecolor="#d0d6e4">
              <v:stroke dashstyle="solid"/>
            </v:line>
            <v:rect style="position:absolute;left:5603;top:1;width:7;height:6876" id="docshape26" filled="true" fillcolor="#d0d6e4" stroked="false">
              <v:fill type="solid"/>
            </v:rect>
            <v:line style="position:absolute" from="6321,5" to="6321,6881" stroked="true" strokeweight=".33649pt" strokecolor="#d0d6e4">
              <v:stroke dashstyle="solid"/>
            </v:line>
            <v:rect style="position:absolute;left:6317;top:1;width:7;height:6876" id="docshape27" filled="true" fillcolor="#d0d6e4" stroked="false">
              <v:fill type="solid"/>
            </v:rect>
            <v:line style="position:absolute" from="6752,3918" to="6752,6881" stroked="true" strokeweight=".33649pt" strokecolor="#d0d6e4">
              <v:stroke dashstyle="solid"/>
            </v:line>
            <v:rect style="position:absolute;left:6748;top:3914;width:7;height:2964" id="docshape28" filled="true" fillcolor="#d0d6e4" stroked="false">
              <v:fill type="solid"/>
            </v:rect>
            <v:line style="position:absolute" from="7183,5" to="7183,6881" stroked="true" strokeweight=".33649pt" strokecolor="#d0d6e4">
              <v:stroke dashstyle="solid"/>
            </v:line>
            <v:rect style="position:absolute;left:7179;top:1;width:7;height:6876" id="docshape29" filled="true" fillcolor="#d0d6e4" stroked="false">
              <v:fill type="solid"/>
            </v:rect>
            <v:line style="position:absolute" from="7614,2975" to="7614,6881" stroked="true" strokeweight=".33649pt" strokecolor="#d0d6e4">
              <v:stroke dashstyle="solid"/>
            </v:line>
            <v:rect style="position:absolute;left:7610;top:2971;width:7;height:3906" id="docshape30" filled="true" fillcolor="#d0d6e4" stroked="false">
              <v:fill type="solid"/>
            </v:rect>
            <v:line style="position:absolute" from="8045,5" to="8045,6881" stroked="true" strokeweight=".33649pt" strokecolor="#d0d6e4">
              <v:stroke dashstyle="solid"/>
            </v:line>
            <v:rect style="position:absolute;left:8041;top:1;width:7;height:6876" id="docshape31" filled="true" fillcolor="#d0d6e4" stroked="false">
              <v:fill type="solid"/>
            </v:rect>
            <v:line style="position:absolute" from="8476,5" to="8476,6881" stroked="true" strokeweight=".33649pt" strokecolor="#d0d6e4">
              <v:stroke dashstyle="solid"/>
            </v:line>
            <v:rect style="position:absolute;left:8472;top:1;width:7;height:6876" id="docshape32" filled="true" fillcolor="#d0d6e4" stroked="false">
              <v:fill type="solid"/>
            </v:rect>
            <v:line style="position:absolute" from="8907,5" to="8907,6881" stroked="true" strokeweight=".33649pt" strokecolor="#d0d6e4">
              <v:stroke dashstyle="solid"/>
            </v:line>
            <v:rect style="position:absolute;left:8903;top:1;width:7;height:6876" id="docshape33" filled="true" fillcolor="#d0d6e4" stroked="false">
              <v:fill type="solid"/>
            </v:rect>
            <v:line style="position:absolute" from="9338,5" to="9338,6881" stroked="true" strokeweight=".33649pt" strokecolor="#d0d6e4">
              <v:stroke dashstyle="solid"/>
            </v:line>
            <v:rect style="position:absolute;left:9334;top:1;width:7;height:6876" id="docshape34" filled="true" fillcolor="#d0d6e4" stroked="false">
              <v:fill type="solid"/>
            </v:rect>
            <v:line style="position:absolute" from="4,5" to="9345,5" stroked="true" strokeweight=".336398pt" strokecolor="#d0d6e4">
              <v:stroke dashstyle="solid"/>
            </v:line>
            <v:rect style="position:absolute;left:0;top:1;width:9341;height:7" id="docshape35" filled="true" fillcolor="#d0d6e4" stroked="false">
              <v:fill type="solid"/>
            </v:rect>
            <v:line style="position:absolute" from="4,140" to="9345,140" stroked="true" strokeweight=".336398pt" strokecolor="#d0d6e4">
              <v:stroke dashstyle="solid"/>
            </v:line>
            <v:rect style="position:absolute;left:0;top:136;width:9341;height:7" id="docshape36" filled="true" fillcolor="#d0d6e4" stroked="false">
              <v:fill type="solid"/>
            </v:rect>
            <v:line style="position:absolute" from="4,274" to="9345,274" stroked="true" strokeweight=".336398pt" strokecolor="#d0d6e4">
              <v:stroke dashstyle="solid"/>
            </v:line>
            <v:rect style="position:absolute;left:0;top:270;width:9341;height:7" id="docshape37" filled="true" fillcolor="#d0d6e4" stroked="false">
              <v:fill type="solid"/>
            </v:rect>
            <v:line style="position:absolute" from="4,409" to="9345,409" stroked="true" strokeweight=".336398pt" strokecolor="#d0d6e4">
              <v:stroke dashstyle="solid"/>
            </v:line>
            <v:rect style="position:absolute;left:0;top:405;width:9341;height:7" id="docshape38" filled="true" fillcolor="#d0d6e4" stroked="false">
              <v:fill type="solid"/>
            </v:rect>
            <v:line style="position:absolute" from="4,543" to="9345,543" stroked="true" strokeweight=".336398pt" strokecolor="#d0d6e4">
              <v:stroke dashstyle="solid"/>
            </v:line>
            <v:rect style="position:absolute;left:0;top:540;width:9341;height:7" id="docshape39" filled="true" fillcolor="#d0d6e4" stroked="false">
              <v:fill type="solid"/>
            </v:rect>
            <v:line style="position:absolute" from="4,678" to="9345,678" stroked="true" strokeweight=".336398pt" strokecolor="#d0d6e4">
              <v:stroke dashstyle="solid"/>
            </v:line>
            <v:rect style="position:absolute;left:0;top:674;width:9341;height:7" id="docshape40" filled="true" fillcolor="#d0d6e4" stroked="false">
              <v:fill type="solid"/>
            </v:rect>
            <v:line style="position:absolute" from="4,813" to="9345,813" stroked="true" strokeweight=".336398pt" strokecolor="#d0d6e4">
              <v:stroke dashstyle="solid"/>
            </v:line>
            <v:rect style="position:absolute;left:0;top:809;width:9341;height:7" id="docshape41" filled="true" fillcolor="#d0d6e4" stroked="false">
              <v:fill type="solid"/>
            </v:rect>
            <v:line style="position:absolute" from="4,948" to="9345,948" stroked="true" strokeweight=".336398pt" strokecolor="#d0d6e4">
              <v:stroke dashstyle="solid"/>
            </v:line>
            <v:rect style="position:absolute;left:0;top:944;width:9341;height:7" id="docshape42" filled="true" fillcolor="#d0d6e4" stroked="false">
              <v:fill type="solid"/>
            </v:rect>
            <v:line style="position:absolute" from="4,1082" to="9345,1082" stroked="true" strokeweight=".336398pt" strokecolor="#d0d6e4">
              <v:stroke dashstyle="solid"/>
            </v:line>
            <v:rect style="position:absolute;left:0;top:1078;width:9341;height:7" id="docshape43" filled="true" fillcolor="#d0d6e4" stroked="false">
              <v:fill type="solid"/>
            </v:rect>
            <v:line style="position:absolute" from="4,1217" to="9345,1217" stroked="true" strokeweight=".336398pt" strokecolor="#d0d6e4">
              <v:stroke dashstyle="solid"/>
            </v:line>
            <v:rect style="position:absolute;left:0;top:1213;width:9341;height:7" id="docshape44" filled="true" fillcolor="#d0d6e4" stroked="false">
              <v:fill type="solid"/>
            </v:rect>
            <v:line style="position:absolute" from="4,1352" to="9345,1352" stroked="true" strokeweight=".336398pt" strokecolor="#d0d6e4">
              <v:stroke dashstyle="solid"/>
            </v:line>
            <v:rect style="position:absolute;left:0;top:1348;width:9341;height:7" id="docshape45" filled="true" fillcolor="#d0d6e4" stroked="false">
              <v:fill type="solid"/>
            </v:rect>
            <v:line style="position:absolute" from="4,1486" to="9345,1486" stroked="true" strokeweight=".336398pt" strokecolor="#d0d6e4">
              <v:stroke dashstyle="solid"/>
            </v:line>
            <v:rect style="position:absolute;left:0;top:1482;width:9341;height:7" id="docshape46" filled="true" fillcolor="#d0d6e4" stroked="false">
              <v:fill type="solid"/>
            </v:rect>
            <v:line style="position:absolute" from="4,1621" to="9345,1621" stroked="true" strokeweight=".336398pt" strokecolor="#d0d6e4">
              <v:stroke dashstyle="solid"/>
            </v:line>
            <v:rect style="position:absolute;left:0;top:1617;width:9341;height:7" id="docshape47" filled="true" fillcolor="#d0d6e4" stroked="false">
              <v:fill type="solid"/>
            </v:rect>
            <v:line style="position:absolute" from="4,1756" to="9345,1756" stroked="true" strokeweight=".336398pt" strokecolor="#d0d6e4">
              <v:stroke dashstyle="solid"/>
            </v:line>
            <v:rect style="position:absolute;left:0;top:1752;width:9341;height:7" id="docshape48" filled="true" fillcolor="#d0d6e4" stroked="false">
              <v:fill type="solid"/>
            </v:rect>
            <v:line style="position:absolute" from="4,1890" to="9345,1890" stroked="true" strokeweight=".336398pt" strokecolor="#d0d6e4">
              <v:stroke dashstyle="solid"/>
            </v:line>
            <v:rect style="position:absolute;left:0;top:1887;width:9341;height:7" id="docshape49" filled="true" fillcolor="#d0d6e4" stroked="false">
              <v:fill type="solid"/>
            </v:rect>
            <v:line style="position:absolute" from="4,2025" to="9345,2025" stroked="true" strokeweight=".336398pt" strokecolor="#d0d6e4">
              <v:stroke dashstyle="solid"/>
            </v:line>
            <v:rect style="position:absolute;left:0;top:2021;width:9341;height:7" id="docshape50" filled="true" fillcolor="#d0d6e4" stroked="false">
              <v:fill type="solid"/>
            </v:rect>
            <v:line style="position:absolute" from="4,2160" to="9345,2160" stroked="true" strokeweight=".336398pt" strokecolor="#d0d6e4">
              <v:stroke dashstyle="solid"/>
            </v:line>
            <v:rect style="position:absolute;left:0;top:2156;width:9341;height:7" id="docshape51" filled="true" fillcolor="#d0d6e4" stroked="false">
              <v:fill type="solid"/>
            </v:rect>
            <v:line style="position:absolute" from="4,2294" to="9345,2294" stroked="true" strokeweight=".336398pt" strokecolor="#d0d6e4">
              <v:stroke dashstyle="solid"/>
            </v:line>
            <v:rect style="position:absolute;left:0;top:2291;width:9341;height:7" id="docshape52" filled="true" fillcolor="#d0d6e4" stroked="false">
              <v:fill type="solid"/>
            </v:rect>
            <v:line style="position:absolute" from="4,2429" to="9345,2429" stroked="true" strokeweight=".336398pt" strokecolor="#d0d6e4">
              <v:stroke dashstyle="solid"/>
            </v:line>
            <v:rect style="position:absolute;left:0;top:2425;width:9341;height:7" id="docshape53" filled="true" fillcolor="#d0d6e4" stroked="false">
              <v:fill type="solid"/>
            </v:rect>
            <v:line style="position:absolute" from="4,2564" to="9345,2564" stroked="true" strokeweight=".336398pt" strokecolor="#d0d6e4">
              <v:stroke dashstyle="solid"/>
            </v:line>
            <v:rect style="position:absolute;left:0;top:2560;width:9341;height:7" id="docshape54" filled="true" fillcolor="#d0d6e4" stroked="false">
              <v:fill type="solid"/>
            </v:rect>
            <v:line style="position:absolute" from="4,2699" to="9345,2699" stroked="true" strokeweight=".336398pt" strokecolor="#d0d6e4">
              <v:stroke dashstyle="solid"/>
            </v:line>
            <v:rect style="position:absolute;left:0;top:2695;width:9341;height:7" id="docshape55" filled="true" fillcolor="#d0d6e4" stroked="false">
              <v:fill type="solid"/>
            </v:rect>
            <v:shape style="position:absolute;left:4;top:2833;width:9341;height:2" id="docshape56" coordorigin="4,2833" coordsize="9341,0" path="m4,2833l405,2833m1455,2833l9345,2833e" filled="false" stroked="true" strokeweight=".336398pt" strokecolor="#d0d6e4">
              <v:path arrowok="t"/>
              <v:stroke dashstyle="solid"/>
            </v:shape>
            <v:shape style="position:absolute;left:0;top:2829;width:9341;height:7" id="docshape57" coordorigin="1,2830" coordsize="9341,7" path="m405,2830l1,2830,1,2837,405,2837,405,2830xm9342,2830l1455,2830,1455,2837,9342,2837,9342,2830xe" filled="true" fillcolor="#d0d6e4" stroked="false">
              <v:path arrowok="t"/>
              <v:fill type="solid"/>
            </v:shape>
            <v:shape style="position:absolute;left:4;top:2968;width:9341;height:2" id="docshape58" coordorigin="4,2968" coordsize="9341,0" path="m4,2968l405,2968m1455,2968l9345,2968e" filled="false" stroked="true" strokeweight=".336398pt" strokecolor="#d0d6e4">
              <v:path arrowok="t"/>
              <v:stroke dashstyle="solid"/>
            </v:shape>
            <v:shape style="position:absolute;left:0;top:2964;width:9341;height:7" id="docshape59" coordorigin="1,2965" coordsize="9341,7" path="m405,2965l1,2965,1,2971,405,2971,405,2965xm9342,2965l1455,2965,1455,2971,9342,2971,9342,2965xe" filled="true" fillcolor="#d0d6e4" stroked="false">
              <v:path arrowok="t"/>
              <v:fill type="solid"/>
            </v:shape>
            <v:shape style="position:absolute;left:4;top:3102;width:9341;height:2" id="docshape60" coordorigin="4,3103" coordsize="9341,0" path="m4,3103l405,3103m1455,3103l9345,3103e" filled="false" stroked="true" strokeweight=".336398pt" strokecolor="#d0d6e4">
              <v:path arrowok="t"/>
              <v:stroke dashstyle="solid"/>
            </v:shape>
            <v:shape style="position:absolute;left:0;top:3099;width:9341;height:7" id="docshape61" coordorigin="1,3099" coordsize="9341,7" path="m405,3099l1,3099,1,3106,405,3106,405,3099xm9342,3099l1455,3099,1455,3106,9342,3106,9342,3099xe" filled="true" fillcolor="#d0d6e4" stroked="false">
              <v:path arrowok="t"/>
              <v:fill type="solid"/>
            </v:shape>
            <v:shape style="position:absolute;left:4;top:3237;width:9341;height:2" id="docshape62" coordorigin="4,3237" coordsize="9341,0" path="m4,3237l405,3237m1455,3237l2472,3237m4459,3237l9345,3237e" filled="false" stroked="true" strokeweight=".336398pt" strokecolor="#d0d6e4">
              <v:path arrowok="t"/>
              <v:stroke dashstyle="solid"/>
            </v:shape>
            <v:shape style="position:absolute;left:0;top:3234;width:9341;height:7" id="docshape63" coordorigin="1,3234" coordsize="9341,7" path="m405,3234l1,3234,1,3241,405,3241,405,3234xm2472,3234l1455,3234,1455,3241,2472,3241,2472,3234xm9342,3234l4459,3234,4459,3241,9342,3241,9342,3234xe" filled="true" fillcolor="#d0d6e4" stroked="false">
              <v:path arrowok="t"/>
              <v:fill type="solid"/>
            </v:shape>
            <v:shape style="position:absolute;left:4;top:3372;width:9341;height:2" id="docshape64" coordorigin="4,3372" coordsize="9341,0" path="m4,3372l405,3372m1455,3372l9345,3372e" filled="false" stroked="true" strokeweight=".336398pt" strokecolor="#d0d6e4">
              <v:path arrowok="t"/>
              <v:stroke dashstyle="solid"/>
            </v:shape>
            <v:shape style="position:absolute;left:0;top:3368;width:9341;height:7" id="docshape65" coordorigin="1,3369" coordsize="9341,7" path="m405,3369l1,3369,1,3375,405,3375,405,3369xm9342,3369l1455,3369,1455,3375,9342,3375,9342,3369xe" filled="true" fillcolor="#d0d6e4" stroked="false">
              <v:path arrowok="t"/>
              <v:fill type="solid"/>
            </v:shape>
            <v:shape style="position:absolute;left:4;top:3506;width:9341;height:2" id="docshape66" coordorigin="4,3507" coordsize="9341,0" path="m4,3507l405,3507m1455,3507l9345,3507e" filled="false" stroked="true" strokeweight=".336398pt" strokecolor="#d0d6e4">
              <v:path arrowok="t"/>
              <v:stroke dashstyle="solid"/>
            </v:shape>
            <v:shape style="position:absolute;left:0;top:3503;width:9341;height:7" id="docshape67" coordorigin="1,3503" coordsize="9341,7" path="m405,3503l1,3503,1,3510,405,3510,405,3503xm9342,3503l1455,3503,1455,3510,9342,3510,9342,3503xe" filled="true" fillcolor="#d0d6e4" stroked="false">
              <v:path arrowok="t"/>
              <v:fill type="solid"/>
            </v:shape>
            <v:shape style="position:absolute;left:4;top:3641;width:9341;height:2" id="docshape68" coordorigin="4,3641" coordsize="9341,0" path="m4,3641l405,3641m1455,3641l9345,3641e" filled="false" stroked="true" strokeweight=".336398pt" strokecolor="#d0d6e4">
              <v:path arrowok="t"/>
              <v:stroke dashstyle="solid"/>
            </v:shape>
            <v:shape style="position:absolute;left:0;top:3638;width:9341;height:7" id="docshape69" coordorigin="1,3638" coordsize="9341,7" path="m405,3638l1,3638,1,3645,405,3645,405,3638xm9342,3638l1455,3638,1455,3645,9342,3645,9342,3638xe" filled="true" fillcolor="#d0d6e4" stroked="false">
              <v:path arrowok="t"/>
              <v:fill type="solid"/>
            </v:shape>
            <v:shape style="position:absolute;left:4;top:3776;width:9341;height:2" id="docshape70" coordorigin="4,3776" coordsize="9341,0" path="m4,3776l405,3776m1455,3776l9345,3776e" filled="false" stroked="true" strokeweight=".336398pt" strokecolor="#d0d6e4">
              <v:path arrowok="t"/>
              <v:stroke dashstyle="solid"/>
            </v:shape>
            <v:shape style="position:absolute;left:0;top:3772;width:9341;height:7" id="docshape71" coordorigin="1,3773" coordsize="9341,7" path="m405,3773l1,3773,1,3779,405,3779,405,3773xm9342,3773l1455,3773,1455,3779,9342,3779,9342,3773xe" filled="true" fillcolor="#d0d6e4" stroked="false">
              <v:path arrowok="t"/>
              <v:fill type="solid"/>
            </v:shape>
            <v:shape style="position:absolute;left:4;top:3910;width:9341;height:2" id="docshape72" coordorigin="4,3911" coordsize="9341,0" path="m4,3911l405,3911m1455,3911l9345,3911e" filled="false" stroked="true" strokeweight=".336398pt" strokecolor="#d0d6e4">
              <v:path arrowok="t"/>
              <v:stroke dashstyle="solid"/>
            </v:shape>
            <v:shape style="position:absolute;left:0;top:3907;width:9341;height:7" id="docshape73" coordorigin="1,3907" coordsize="9341,7" path="m405,3907l1,3907,1,3914,405,3914,405,3907xm9342,3907l1455,3907,1455,3914,9342,3914,9342,3907xe" filled="true" fillcolor="#d0d6e4" stroked="false">
              <v:path arrowok="t"/>
              <v:fill type="solid"/>
            </v:shape>
            <v:line style="position:absolute" from="4,4046" to="9345,4046" stroked="true" strokeweight=".336398pt" strokecolor="#d0d6e4">
              <v:stroke dashstyle="solid"/>
            </v:line>
            <v:rect style="position:absolute;left:0;top:4042;width:9341;height:7" id="docshape74" filled="true" fillcolor="#d0d6e4" stroked="false">
              <v:fill type="solid"/>
            </v:rect>
            <v:line style="position:absolute" from="4,4180" to="9345,4180" stroked="true" strokeweight=".336398pt" strokecolor="#d0d6e4">
              <v:stroke dashstyle="solid"/>
            </v:line>
            <v:rect style="position:absolute;left:0;top:4176;width:9341;height:7" id="docshape75" filled="true" fillcolor="#d0d6e4" stroked="false">
              <v:fill type="solid"/>
            </v:rect>
            <v:line style="position:absolute" from="4,4315" to="9345,4315" stroked="true" strokeweight=".336398pt" strokecolor="#d0d6e4">
              <v:stroke dashstyle="solid"/>
            </v:line>
            <v:rect style="position:absolute;left:0;top:4311;width:9341;height:7" id="docshape76" filled="true" fillcolor="#d0d6e4" stroked="false">
              <v:fill type="solid"/>
            </v:rect>
            <v:line style="position:absolute" from="4,4450" to="9345,4450" stroked="true" strokeweight=".336398pt" strokecolor="#d0d6e4">
              <v:stroke dashstyle="solid"/>
            </v:line>
            <v:rect style="position:absolute;left:0;top:4446;width:9341;height:7" id="docshape77" filled="true" fillcolor="#d0d6e4" stroked="false">
              <v:fill type="solid"/>
            </v:rect>
            <v:line style="position:absolute" from="4,4584" to="9345,4584" stroked="true" strokeweight=".336398pt" strokecolor="#d0d6e4">
              <v:stroke dashstyle="solid"/>
            </v:line>
            <v:rect style="position:absolute;left:0;top:4580;width:9341;height:7" id="docshape78" filled="true" fillcolor="#d0d6e4" stroked="false">
              <v:fill type="solid"/>
            </v:rect>
            <v:line style="position:absolute" from="4,4719" to="9345,4719" stroked="true" strokeweight=".336398pt" strokecolor="#d0d6e4">
              <v:stroke dashstyle="solid"/>
            </v:line>
            <v:rect style="position:absolute;left:0;top:4715;width:9341;height:7" id="docshape79" filled="true" fillcolor="#d0d6e4" stroked="false">
              <v:fill type="solid"/>
            </v:rect>
            <v:line style="position:absolute" from="4,4854" to="9345,4854" stroked="true" strokeweight=".336398pt" strokecolor="#d0d6e4">
              <v:stroke dashstyle="solid"/>
            </v:line>
            <v:rect style="position:absolute;left:0;top:4850;width:9341;height:7" id="docshape80" filled="true" fillcolor="#d0d6e4" stroked="false">
              <v:fill type="solid"/>
            </v:rect>
            <v:line style="position:absolute" from="4,4988" to="9345,4988" stroked="true" strokeweight=".336398pt" strokecolor="#d0d6e4">
              <v:stroke dashstyle="solid"/>
            </v:line>
            <v:rect style="position:absolute;left:0;top:4985;width:9341;height:7" id="docshape81" filled="true" fillcolor="#d0d6e4" stroked="false">
              <v:fill type="solid"/>
            </v:rect>
            <v:line style="position:absolute" from="4,5123" to="9345,5123" stroked="true" strokeweight=".336398pt" strokecolor="#d0d6e4">
              <v:stroke dashstyle="solid"/>
            </v:line>
            <v:rect style="position:absolute;left:0;top:5119;width:9341;height:7" id="docshape82" filled="true" fillcolor="#d0d6e4" stroked="false">
              <v:fill type="solid"/>
            </v:rect>
            <v:line style="position:absolute" from="4,5258" to="9345,5258" stroked="true" strokeweight=".336398pt" strokecolor="#d0d6e4">
              <v:stroke dashstyle="solid"/>
            </v:line>
            <v:rect style="position:absolute;left:0;top:5254;width:9341;height:7" id="docshape83" filled="true" fillcolor="#d0d6e4" stroked="false">
              <v:fill type="solid"/>
            </v:rect>
            <v:line style="position:absolute" from="4,5392" to="9345,5392" stroked="true" strokeweight=".336398pt" strokecolor="#d0d6e4">
              <v:stroke dashstyle="solid"/>
            </v:line>
            <v:rect style="position:absolute;left:0;top:5388;width:9341;height:7" id="docshape84" filled="true" fillcolor="#d0d6e4" stroked="false">
              <v:fill type="solid"/>
            </v:rect>
            <v:line style="position:absolute" from="4,5527" to="9345,5527" stroked="true" strokeweight=".336398pt" strokecolor="#d0d6e4">
              <v:stroke dashstyle="solid"/>
            </v:line>
            <v:rect style="position:absolute;left:0;top:5523;width:9341;height:7" id="docshape85" filled="true" fillcolor="#d0d6e4" stroked="false">
              <v:fill type="solid"/>
            </v:rect>
            <v:line style="position:absolute" from="4,5662" to="9345,5662" stroked="true" strokeweight=".336398pt" strokecolor="#d0d6e4">
              <v:stroke dashstyle="solid"/>
            </v:line>
            <v:rect style="position:absolute;left:0;top:5658;width:9341;height:7" id="docshape86" filled="true" fillcolor="#d0d6e4" stroked="false">
              <v:fill type="solid"/>
            </v:rect>
            <v:line style="position:absolute" from="4,5796" to="9345,5796" stroked="true" strokeweight=".336398pt" strokecolor="#d0d6e4">
              <v:stroke dashstyle="solid"/>
            </v:line>
            <v:rect style="position:absolute;left:0;top:5793;width:9341;height:7" id="docshape87" filled="true" fillcolor="#d0d6e4" stroked="false">
              <v:fill type="solid"/>
            </v:rect>
            <v:line style="position:absolute" from="4,5931" to="9345,5931" stroked="true" strokeweight=".336398pt" strokecolor="#d0d6e4">
              <v:stroke dashstyle="solid"/>
            </v:line>
            <v:rect style="position:absolute;left:0;top:5927;width:9341;height:7" id="docshape88" filled="true" fillcolor="#d0d6e4" stroked="false">
              <v:fill type="solid"/>
            </v:rect>
            <v:line style="position:absolute" from="4,6066" to="9345,6066" stroked="true" strokeweight=".336398pt" strokecolor="#d0d6e4">
              <v:stroke dashstyle="solid"/>
            </v:line>
            <v:rect style="position:absolute;left:0;top:6062;width:9341;height:7" id="docshape89" filled="true" fillcolor="#d0d6e4" stroked="false">
              <v:fill type="solid"/>
            </v:rect>
            <v:line style="position:absolute" from="4,6201" to="9345,6201" stroked="true" strokeweight=".336398pt" strokecolor="#d0d6e4">
              <v:stroke dashstyle="solid"/>
            </v:line>
            <v:rect style="position:absolute;left:0;top:6197;width:9341;height:7" id="docshape90" filled="true" fillcolor="#d0d6e4" stroked="false">
              <v:fill type="solid"/>
            </v:rect>
            <v:line style="position:absolute" from="4,6335" to="9345,6335" stroked="true" strokeweight=".336398pt" strokecolor="#d0d6e4">
              <v:stroke dashstyle="solid"/>
            </v:line>
            <v:rect style="position:absolute;left:0;top:6331;width:9341;height:7" id="docshape91" filled="true" fillcolor="#d0d6e4" stroked="false">
              <v:fill type="solid"/>
            </v:rect>
            <v:line style="position:absolute" from="4,6470" to="9345,6470" stroked="true" strokeweight=".336398pt" strokecolor="#d0d6e4">
              <v:stroke dashstyle="solid"/>
            </v:line>
            <v:rect style="position:absolute;left:0;top:6466;width:9341;height:7" id="docshape92" filled="true" fillcolor="#d0d6e4" stroked="false">
              <v:fill type="solid"/>
            </v:rect>
            <v:line style="position:absolute" from="4,6605" to="9345,6605" stroked="true" strokeweight=".336398pt" strokecolor="#d0d6e4">
              <v:stroke dashstyle="solid"/>
            </v:line>
            <v:rect style="position:absolute;left:0;top:6601;width:9341;height:7" id="docshape93" filled="true" fillcolor="#d0d6e4" stroked="false">
              <v:fill type="solid"/>
            </v:rect>
            <v:line style="position:absolute" from="4,6739" to="9345,6739" stroked="true" strokeweight=".336398pt" strokecolor="#d0d6e4">
              <v:stroke dashstyle="solid"/>
            </v:line>
            <v:rect style="position:absolute;left:0;top:6735;width:9341;height:7" id="docshape94" filled="true" fillcolor="#d0d6e4" stroked="false">
              <v:fill type="solid"/>
            </v:rect>
            <v:line style="position:absolute" from="4,6874" to="9345,6874" stroked="true" strokeweight=".336398pt" strokecolor="#d0d6e4">
              <v:stroke dashstyle="solid"/>
            </v:line>
            <v:rect style="position:absolute;left:0;top:6870;width:9341;height:7" id="docshape95" filled="true" fillcolor="#d0d6e4" stroked="false">
              <v:fill type="solid"/>
            </v:rect>
            <v:shape style="position:absolute;left:380;top:340;width:8763;height:6413" type="#_x0000_t75" id="docshape96" stroked="false">
              <v:imagedata r:id="rId5" o:title=""/>
            </v:shape>
            <v:shape style="position:absolute;left:3165;top:5961;width:721;height:714" id="docshape97" coordorigin="3166,5962" coordsize="721,714" path="m3526,5962l3454,5969,3386,5990,3325,6022,3272,6066,3228,6119,3194,6179,3173,6246,3166,6318,3173,6390,3194,6457,3228,6518,3272,6571,3325,6614,3386,6647,3454,6668,3526,6675,3599,6668,3667,6647,3728,6614,3781,6571,3825,6518,3858,6457,3879,6390,3887,6318,3879,6246,3858,6179,3825,6119,3781,6066,3728,6022,3667,5990,3599,5969,3526,5962xe" filled="true" fillcolor="#4f81bc" stroked="false">
              <v:path arrowok="t"/>
              <v:fill type="solid"/>
            </v:shape>
            <v:shape style="position:absolute;left:3155;top:5951;width:741;height:735" id="docshape98" coordorigin="3156,5951" coordsize="741,735" path="m3526,5951l3488,5953,3452,5959,3416,5968,3382,5981,3349,5996,3319,6014,3291,6036,3264,6059,3240,6086,3219,6114,3201,6144,3185,6176,3173,6210,3164,6245,3158,6281,3156,6319,3158,6357,3164,6393,3173,6428,3185,6462,3201,6494,3219,6524,3241,6553,3265,6578,3291,6602,3320,6623,3350,6642,3383,6657,3417,6669,3453,6678,3489,6684,3527,6685,3565,6684,3602,6678,3638,6669,3648,6665,3526,6665,3491,6663,3456,6658,3422,6650,3390,6638,3359,6624,3331,6606,3304,6586,3279,6564,3256,6539,3236,6512,3218,6483,3203,6453,3192,6421,3183,6388,3178,6354,3176,6318,3178,6283,3183,6248,3192,6215,3204,6183,3219,6153,3236,6124,3257,6098,3279,6073,3304,6051,3332,6031,3360,6013,3391,5999,3423,5987,3457,5979,3491,5973,3527,5972,3646,5972,3636,5968,3601,5959,3564,5953,3526,5951xm3646,5972l3527,5972,3563,5973,3598,5979,3631,5987,3663,5999,3694,6014,3723,6031,3750,6052,3774,6074,3797,6099,3817,6125,3835,6154,3850,6184,3861,6216,3870,6249,3875,6284,3876,6319,3875,6355,3870,6389,3861,6422,3849,6454,3834,6485,3817,6513,3797,6540,3774,6564,3749,6587,3722,6606,3693,6624,3662,6638,3630,6650,3597,6658,3562,6664,3526,6665,3648,6665,3671,6656,3703,6641,3734,6623,3763,6602,3789,6578,3813,6552,3834,6523,3852,6493,3868,6461,3881,6427,3890,6392,3895,6357,3895,6355,3897,6318,3895,6281,3890,6244,3880,6209,3868,6175,3852,6143,3834,6113,3812,6085,3788,6059,3762,6035,3733,6014,3703,5996,3670,5980,3646,5972xe" filled="true" fillcolor="#ffffff" stroked="false">
              <v:path arrowok="t"/>
              <v:fill type="solid"/>
            </v:shape>
            <v:shape style="position:absolute;left:3155;top:5951;width:741;height:735" id="docshape99" coordorigin="3156,5951" coordsize="741,735" path="m3156,6319l3158,6281,3164,6245,3173,6210,3185,6176,3201,6144,3219,6114,3240,6086,3264,6059,3291,6036,3319,6014,3349,5996,3382,5981,3416,5968,3452,5959,3488,5953,3526,5951,3564,5953,3601,5959,3636,5968,3670,5980,3703,5996,3733,6014,3762,6035,3788,6059,3812,6085,3834,6113,3852,6143,3868,6175,3880,6209,3890,6244,3895,6281,3897,6318,3895,6356,3890,6392,3881,6427,3868,6461,3852,6493,3834,6523,3813,6552,3789,6578,3763,6602,3734,6623,3703,6641,3671,6656,3638,6669,3602,6678,3565,6684,3527,6685,3489,6684,3453,6678,3417,6669,3383,6657,3350,6642,3320,6623,3291,6602,3265,6578,3241,6553,3219,6524,3201,6494,3185,6462,3173,6428,3164,6393,3158,6357,3156,6319xm3178,6354l3183,6388,3192,6421,3203,6453,3218,6483,3236,6512,3256,6539,3279,6564,3304,6586,3331,6606,3359,6624,3390,6638,3422,6650,3456,6658,3491,6663,3526,6665,3562,6664,3597,6658,3630,6650,3662,6638,3693,6624,3722,6606,3749,6587,3774,6564,3797,6540,3817,6513,3834,6485,3849,6454,3861,6422,3870,6389,3875,6355,3876,6319,3875,6284,3870,6249,3861,6216,3850,6184,3835,6154,3817,6125,3797,6099,3774,6074,3750,6052,3723,6031,3694,6014,3663,5999,3631,5987,3598,5979,3563,5973,3527,5972,3491,5973,3457,5979,3423,5987,3391,5999,3360,6013,3332,6031,3304,6051,3279,6073,3257,6098,3236,6124,3219,6153,3204,6183,3192,6215,3183,6248,3178,6283,3176,6318,3178,6354xe" filled="false" stroked="true" strokeweight=".062803pt" strokecolor="#ffffff">
              <v:path arrowok="t"/>
              <v:stroke dashstyle="solid"/>
            </v:shape>
            <v:shape style="position:absolute;left:2893;top:6193;width:189;height:243" type="#_x0000_t75" id="docshape100" stroked="false">
              <v:imagedata r:id="rId6" o:title=""/>
            </v:shape>
            <v:shape style="position:absolute;left:2088;top:5961;width:721;height:714" id="docshape101" coordorigin="2089,5962" coordsize="721,714" path="m2449,5962l2376,5969,2309,5990,2248,6022,2194,6066,2150,6119,2117,6179,2096,6246,2089,6318,2096,6390,2117,6457,2150,6518,2194,6571,2248,6614,2309,6647,2376,6668,2449,6675,2521,6668,2589,6647,2650,6614,2704,6571,2748,6518,2781,6457,2802,6390,2809,6318,2802,6246,2781,6179,2748,6119,2704,6066,2650,6022,2589,5990,2521,5969,2449,5962xe" filled="true" fillcolor="#4f81bc" stroked="false">
              <v:path arrowok="t"/>
              <v:fill type="solid"/>
            </v:shape>
            <v:shape style="position:absolute;left:2078;top:5951;width:741;height:735" id="docshape102" coordorigin="2078,5951" coordsize="741,735" path="m2448,5951l2411,5953,2374,5959,2338,5968,2304,5981,2272,5996,2242,6014,2213,6036,2187,6059,2163,6086,2142,6114,2123,6144,2107,6176,2095,6210,2086,6245,2080,6281,2078,6319,2080,6357,2086,6393,2096,6428,2108,6462,2123,6494,2142,6524,2164,6553,2187,6578,2214,6602,2242,6623,2273,6642,2305,6657,2340,6669,2375,6678,2412,6684,2450,6685,2487,6684,2524,6678,2560,6669,2570,6665,2448,6665,2413,6663,2378,6658,2344,6650,2312,6638,2282,6624,2253,6606,2226,6586,2201,6564,2178,6539,2158,6512,2141,6483,2126,6453,2115,6421,2106,6388,2100,6354,2099,6318,2100,6283,2106,6248,2115,6215,2126,6183,2141,6153,2159,6124,2179,6098,2202,6073,2227,6051,2254,6031,2283,6013,2313,5999,2346,5987,2379,5979,2414,5973,2450,5972,2569,5972,2559,5968,2523,5959,2487,5953,2448,5951xm2569,5972l2450,5972,2485,5973,2520,5979,2554,5987,2586,5999,2616,6014,2645,6031,2672,6052,2697,6074,2720,6099,2740,6125,2757,6154,2772,6184,2784,6216,2792,6249,2798,6284,2799,6319,2797,6355,2792,6389,2784,6422,2772,6454,2757,6485,2739,6513,2719,6540,2696,6564,2671,6587,2644,6606,2615,6624,2585,6638,2553,6650,2519,6658,2484,6664,2448,6665,2570,6665,2593,6656,2626,6641,2657,6623,2685,6602,2711,6578,2735,6552,2756,6523,2775,6493,2790,6461,2803,6427,2812,6392,2817,6357,2817,6355,2819,6318,2817,6281,2812,6244,2803,6209,2790,6175,2775,6143,2756,6113,2735,6085,2711,6059,2685,6035,2656,6014,2625,5996,2593,5980,2569,5972xe" filled="true" fillcolor="#ffffff" stroked="false">
              <v:path arrowok="t"/>
              <v:fill type="solid"/>
            </v:shape>
            <v:shape style="position:absolute;left:2078;top:5951;width:741;height:735" id="docshape103" coordorigin="2078,5951" coordsize="741,735" path="m2078,6319l2080,6281,2086,6245,2095,6210,2107,6176,2123,6144,2142,6114,2163,6086,2187,6059,2213,6036,2242,6014,2272,5996,2304,5981,2338,5968,2374,5959,2411,5953,2448,5951,2487,5953,2523,5959,2559,5968,2593,5980,2625,5996,2656,6014,2685,6035,2711,6059,2735,6085,2756,6113,2775,6143,2790,6175,2803,6209,2812,6244,2817,6281,2819,6318,2817,6356,2812,6392,2803,6427,2790,6461,2775,6493,2756,6523,2735,6552,2711,6578,2685,6602,2657,6623,2626,6641,2593,6656,2560,6669,2524,6678,2487,6684,2450,6685,2412,6684,2375,6678,2340,6669,2305,6657,2273,6642,2242,6623,2214,6602,2187,6578,2164,6553,2142,6524,2123,6494,2108,6462,2096,6428,2086,6393,2080,6357,2078,6319xm2100,6354l2106,6388,2115,6421,2126,6453,2141,6483,2158,6512,2178,6539,2201,6564,2226,6586,2253,6606,2282,6624,2312,6638,2344,6650,2378,6658,2413,6663,2448,6665,2484,6664,2519,6658,2553,6650,2585,6638,2615,6624,2644,6606,2671,6587,2696,6564,2719,6540,2739,6513,2757,6485,2772,6454,2784,6422,2792,6389,2797,6355,2799,6319,2798,6284,2792,6249,2784,6216,2772,6184,2757,6154,2740,6125,2720,6099,2697,6074,2672,6052,2645,6031,2616,6014,2586,5999,2554,5987,2520,5979,2485,5973,2450,5972,2414,5973,2379,5979,2346,5987,2313,5999,2283,6013,2254,6031,2227,6051,2202,6073,2179,6098,2159,6124,2141,6153,2126,6183,2115,6215,2106,6248,2100,6283,2099,6318,2100,6354xe" filled="false" stroked="true" strokeweight=".062803pt" strokecolor="#ffffff">
              <v:path arrowok="t"/>
              <v:stroke dashstyle="solid"/>
            </v:shape>
            <v:shape style="position:absolute;left:2166;top:5717;width:231;height:204" type="#_x0000_t75" id="docshape104" stroked="false">
              <v:imagedata r:id="rId7" o:title=""/>
            </v:shape>
            <v:shape style="position:absolute;left:4593;top:169;width:4479;height:2209" id="docshape105" coordorigin="4594,170" coordsize="4479,2209" path="m9072,170l6163,170,6163,998,5146,998,5146,722,4594,1274,5146,1827,5146,1550,6163,1550,6163,2379,9072,2379,9072,170xe" filled="true" fillcolor="#4f81bc" stroked="false">
              <v:path arrowok="t"/>
              <v:fill type="solid"/>
            </v:shape>
            <v:shape style="position:absolute;left:4579;top:159;width:4503;height:2229" id="docshape106" coordorigin="4580,160" coordsize="4503,2229" path="m6152,1550l6152,2389,9082,2389,9082,2379,6173,2379,6163,2369,6173,2369,6173,1561,6163,1561,6152,1550xm6173,2369l6163,2369,6173,2379,6173,2369xm9062,2369l6173,2369,6173,2379,9062,2379,9062,2369xm9062,170l9062,2379,9072,2369,9082,2369,9082,180,9072,180,9062,170xm9082,2369l9072,2369,9062,2379,9082,2379,9082,2369xm5156,698l4580,1274,5156,1851,5156,1827,5136,1827,5136,1802,4615,1281,4601,1281,4601,1267,4615,1267,5136,746,5136,722,5156,722,5156,698xm5136,1802l5136,1827,5153,1819,5136,1802xm6173,1540l5136,1540,5136,1802,5153,1819,5136,1827,5156,1827,5156,1561,5146,1561,5156,1550,6173,1550,6173,1540xm5156,1550l5146,1561,5156,1561,5156,1550xm6152,1550l5156,1550,5156,1561,6152,1561,6152,1550xm6173,1550l6152,1550,6163,1561,6173,1561,6173,1550xm4601,1267l4601,1281,4608,1274,4601,1267xm4608,1274l4601,1281,4615,1281,4608,1274xm4615,1267l4601,1267,4608,1274,4615,1267xm5156,722l5136,722,5153,729,5136,746,5136,1008,6173,1008,6173,998,5156,998,5146,988,5156,988,5156,722xm5156,988l5146,988,5156,998,5156,988xm6152,988l5156,988,5156,998,6152,998,6152,988xm9082,160l6152,160,6152,998,6163,988,6173,988,6173,180,6163,180,6173,170,9082,170,9082,160xm6173,988l6163,988,6152,998,6173,998,6173,988xm5136,722l5136,746,5153,729,5136,722xm6173,170l6163,180,6173,180,6173,170xm9062,170l6173,170,6173,180,9062,180,9062,170xm9082,170l9062,170,9072,180,9082,180,9082,170xe" filled="true" fillcolor="#385d89" stroked="false">
              <v:path arrowok="t"/>
              <v:fill type="solid"/>
            </v:shape>
            <v:shape style="position:absolute;left:4579;top:159;width:4503;height:2229" id="docshape107" coordorigin="4580,160" coordsize="4503,2229" path="m4580,1274l5156,698,5156,998,5146,988,6163,988,6152,998,6152,160,9082,160,9082,2389,6152,2389,6152,1550,6163,1561,5146,1561,5156,1550,5156,1851,4580,1274xm5153,1819l5136,1827,5136,1540,6173,1540,6173,2379,6163,2369,9072,2369,9062,2379,9062,170,9072,180,6163,180,6173,170,6173,1008,5136,1008,5136,722,5153,729,4601,1281,4601,1267,5153,1819xe" filled="false" stroked="true" strokeweight=".062803pt" strokecolor="#385d89">
              <v:path arrowok="t"/>
              <v:stroke dashstyle="solid"/>
            </v:shape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left:6979;top:742;width:1295;height:674" type="#_x0000_t202" id="docshape108" filled="false" stroked="false">
              <v:textbox inset="0,0,0,0">
                <w:txbxContent>
                  <w:p>
                    <w:pPr>
                      <w:spacing w:line="144" w:lineRule="exact" w:before="0"/>
                      <w:ind w:left="0" w:right="18" w:firstLine="0"/>
                      <w:jc w:val="center"/>
                      <w:rPr>
                        <w:rFonts w:ascii="Calibri"/>
                        <w:sz w:val="14"/>
                      </w:rPr>
                    </w:pPr>
                    <w:r>
                      <w:rPr>
                        <w:rFonts w:ascii="Calibri"/>
                        <w:color w:val="FFFFFF"/>
                        <w:sz w:val="14"/>
                      </w:rPr>
                      <w:t>Vectorr</w:t>
                    </w:r>
                    <w:r>
                      <w:rPr>
                        <w:rFonts w:ascii="Calibri"/>
                        <w:color w:val="FFFFFF"/>
                        <w:spacing w:val="2"/>
                        <w:sz w:val="14"/>
                      </w:rPr>
                      <w:t> </w:t>
                    </w:r>
                    <w:r>
                      <w:rPr>
                        <w:rFonts w:ascii="Calibri"/>
                        <w:color w:val="FFFFFF"/>
                        <w:sz w:val="14"/>
                      </w:rPr>
                      <w:t>borne Disease</w:t>
                    </w:r>
                  </w:p>
                  <w:p>
                    <w:pPr>
                      <w:spacing w:line="240" w:lineRule="auto" w:before="0"/>
                      <w:rPr>
                        <w:rFonts w:ascii="Calibri"/>
                        <w:sz w:val="14"/>
                      </w:rPr>
                    </w:pPr>
                  </w:p>
                  <w:p>
                    <w:pPr>
                      <w:spacing w:line="240" w:lineRule="auto" w:before="7"/>
                      <w:rPr>
                        <w:rFonts w:ascii="Calibri"/>
                        <w:sz w:val="15"/>
                      </w:rPr>
                    </w:pPr>
                  </w:p>
                  <w:p>
                    <w:pPr>
                      <w:spacing w:line="169" w:lineRule="exact" w:before="0"/>
                      <w:ind w:left="0" w:right="24" w:firstLine="0"/>
                      <w:jc w:val="center"/>
                      <w:rPr>
                        <w:rFonts w:ascii="Calibri"/>
                        <w:sz w:val="14"/>
                      </w:rPr>
                    </w:pPr>
                    <w:r>
                      <w:rPr>
                        <w:rFonts w:ascii="Calibri"/>
                        <w:color w:val="FFFFFF"/>
                        <w:sz w:val="14"/>
                      </w:rPr>
                      <w:t>Diarrheal</w:t>
                    </w:r>
                    <w:r>
                      <w:rPr>
                        <w:rFonts w:ascii="Calibri"/>
                        <w:color w:val="FFFFFF"/>
                        <w:spacing w:val="4"/>
                        <w:sz w:val="14"/>
                      </w:rPr>
                      <w:t> </w:t>
                    </w:r>
                    <w:r>
                      <w:rPr>
                        <w:rFonts w:ascii="Calibri"/>
                        <w:color w:val="FFFFFF"/>
                        <w:sz w:val="14"/>
                      </w:rPr>
                      <w:t>Disease</w:t>
                    </w:r>
                  </w:p>
                </w:txbxContent>
              </v:textbox>
              <w10:wrap type="none"/>
            </v:shape>
            <v:shape style="position:absolute;left:543;top:1826;width:801;height:142" type="#_x0000_t202" id="docshape109" filled="false" stroked="false">
              <v:textbox inset="0,0,0,0">
                <w:txbxContent>
                  <w:p>
                    <w:pPr>
                      <w:spacing w:line="141" w:lineRule="exact" w:before="0"/>
                      <w:ind w:left="0" w:right="0" w:firstLine="0"/>
                      <w:jc w:val="left"/>
                      <w:rPr>
                        <w:rFonts w:ascii="Calibri"/>
                        <w:sz w:val="14"/>
                      </w:rPr>
                    </w:pPr>
                    <w:r>
                      <w:rPr>
                        <w:rFonts w:ascii="Calibri"/>
                        <w:color w:val="FFFFFF"/>
                        <w:sz w:val="14"/>
                      </w:rPr>
                      <w:t>Displacement</w:t>
                    </w:r>
                  </w:p>
                </w:txbxContent>
              </v:textbox>
              <w10:wrap type="none"/>
            </v:shape>
            <v:shape style="position:absolute;left:5150;top:2949;width:422;height:101" type="#_x0000_t202" id="docshape110" filled="false" stroked="false">
              <v:textbox inset="0,0,0,0">
                <w:txbxContent>
                  <w:p>
                    <w:pPr>
                      <w:spacing w:line="101" w:lineRule="exact" w:before="0"/>
                      <w:ind w:left="0" w:right="0" w:firstLine="0"/>
                      <w:jc w:val="left"/>
                      <w:rPr>
                        <w:rFonts w:ascii="Calibri"/>
                        <w:sz w:val="10"/>
                      </w:rPr>
                    </w:pPr>
                    <w:r>
                      <w:rPr>
                        <w:rFonts w:ascii="Calibri"/>
                        <w:color w:val="FFFFFF"/>
                        <w:sz w:val="10"/>
                      </w:rPr>
                      <w:t>Individual</w:t>
                    </w:r>
                  </w:p>
                </w:txbxContent>
              </v:textbox>
              <w10:wrap type="none"/>
            </v:shape>
            <v:shape style="position:absolute;left:570;top:3115;width:743;height:627" type="#_x0000_t202" id="docshape111" filled="false" stroked="false">
              <v:textbox inset="0,0,0,0">
                <w:txbxContent>
                  <w:p>
                    <w:pPr>
                      <w:spacing w:line="185" w:lineRule="exact" w:before="0"/>
                      <w:ind w:left="0" w:right="18" w:firstLine="0"/>
                      <w:jc w:val="center"/>
                      <w:rPr>
                        <w:rFonts w:ascii="Calibri"/>
                        <w:sz w:val="18"/>
                      </w:rPr>
                    </w:pPr>
                    <w:r>
                      <w:rPr>
                        <w:rFonts w:ascii="Calibri"/>
                        <w:color w:val="FFFFFF"/>
                        <w:spacing w:val="-1"/>
                        <w:sz w:val="18"/>
                      </w:rPr>
                      <w:t>Morbidity</w:t>
                    </w:r>
                  </w:p>
                  <w:p>
                    <w:pPr>
                      <w:spacing w:line="242" w:lineRule="auto" w:before="0"/>
                      <w:ind w:left="20" w:right="38" w:hanging="1"/>
                      <w:jc w:val="center"/>
                      <w:rPr>
                        <w:rFonts w:ascii="Calibri"/>
                        <w:sz w:val="18"/>
                      </w:rPr>
                    </w:pPr>
                    <w:r>
                      <w:rPr>
                        <w:rFonts w:ascii="Calibri"/>
                        <w:color w:val="FFFFFF"/>
                        <w:sz w:val="18"/>
                      </w:rPr>
                      <w:t>and</w:t>
                    </w:r>
                    <w:r>
                      <w:rPr>
                        <w:rFonts w:ascii="Calibri"/>
                        <w:color w:val="FFFFFF"/>
                        <w:spacing w:val="1"/>
                        <w:sz w:val="18"/>
                      </w:rPr>
                      <w:t> </w:t>
                    </w:r>
                    <w:r>
                      <w:rPr>
                        <w:rFonts w:ascii="Calibri"/>
                        <w:color w:val="FFFFFF"/>
                        <w:sz w:val="18"/>
                      </w:rPr>
                      <w:t>Mortality</w:t>
                    </w:r>
                  </w:p>
                </w:txbxContent>
              </v:textbox>
              <w10:wrap type="none"/>
            </v:shape>
            <v:shape style="position:absolute;left:2534;top:3055;width:609;height:295" type="#_x0000_t202" id="docshape112" filled="false" stroked="false">
              <v:textbox inset="0,0,0,0">
                <w:txbxContent>
                  <w:p>
                    <w:pPr>
                      <w:spacing w:line="108" w:lineRule="exact" w:before="0"/>
                      <w:ind w:left="80" w:right="0" w:firstLine="0"/>
                      <w:jc w:val="left"/>
                      <w:rPr>
                        <w:rFonts w:ascii="Calibri"/>
                        <w:b/>
                        <w:sz w:val="10"/>
                      </w:rPr>
                    </w:pPr>
                    <w:r>
                      <w:rPr>
                        <w:rFonts w:ascii="Calibri"/>
                        <w:b/>
                        <w:w w:val="110"/>
                        <w:sz w:val="10"/>
                      </w:rPr>
                      <w:t>Population</w:t>
                    </w:r>
                  </w:p>
                  <w:p>
                    <w:pPr>
                      <w:numPr>
                        <w:ilvl w:val="0"/>
                        <w:numId w:val="2"/>
                      </w:numPr>
                      <w:tabs>
                        <w:tab w:pos="81" w:val="left" w:leader="none"/>
                      </w:tabs>
                      <w:spacing w:before="64"/>
                      <w:ind w:left="80" w:right="0" w:hanging="81"/>
                      <w:jc w:val="left"/>
                      <w:rPr>
                        <w:rFonts w:ascii="Calibri"/>
                        <w:b/>
                        <w:sz w:val="10"/>
                      </w:rPr>
                    </w:pPr>
                    <w:r>
                      <w:rPr>
                        <w:rFonts w:ascii="Calibri"/>
                        <w:b/>
                        <w:w w:val="110"/>
                        <w:sz w:val="10"/>
                      </w:rPr>
                      <w:t>Response</w:t>
                    </w:r>
                  </w:p>
                </w:txbxContent>
              </v:textbox>
              <w10:wrap type="none"/>
            </v:shape>
            <v:shape style="position:absolute;left:2234;top:3322;width:229;height:88" type="#_x0000_t202" id="docshape113" filled="false" stroked="false">
              <v:textbox inset="0,0,0,0">
                <w:txbxContent>
                  <w:p>
                    <w:pPr>
                      <w:spacing w:line="87" w:lineRule="exact" w:before="0"/>
                      <w:ind w:left="0" w:right="0" w:firstLine="0"/>
                      <w:jc w:val="left"/>
                      <w:rPr>
                        <w:rFonts w:ascii="Calibri"/>
                        <w:sz w:val="8"/>
                      </w:rPr>
                    </w:pPr>
                    <w:r>
                      <w:rPr>
                        <w:rFonts w:ascii="Calibri"/>
                        <w:color w:val="FFFFFF"/>
                        <w:w w:val="110"/>
                        <w:sz w:val="8"/>
                      </w:rPr>
                      <w:t>[Text]</w:t>
                    </w:r>
                  </w:p>
                </w:txbxContent>
              </v:textbox>
              <w10:wrap type="none"/>
            </v:shape>
            <v:shape style="position:absolute;left:5362;top:4170;width:1714;height:290" type="#_x0000_t202" id="docshape114" filled="false" stroked="false">
              <v:textbox inset="0,0,0,0">
                <w:txbxContent>
                  <w:p>
                    <w:pPr>
                      <w:spacing w:line="290" w:lineRule="exact" w:before="0"/>
                      <w:ind w:left="0" w:right="0" w:firstLine="0"/>
                      <w:jc w:val="left"/>
                      <w:rPr>
                        <w:rFonts w:ascii="Calibri"/>
                        <w:sz w:val="29"/>
                      </w:rPr>
                    </w:pPr>
                    <w:r>
                      <w:rPr>
                        <w:rFonts w:ascii="Calibri"/>
                        <w:color w:val="FFFFFF"/>
                        <w:sz w:val="29"/>
                      </w:rPr>
                      <w:t>Vulnerabilities</w:t>
                    </w:r>
                  </w:p>
                </w:txbxContent>
              </v:textbox>
              <w10:wrap type="none"/>
            </v:shape>
            <v:shape style="position:absolute;left:3653;top:5255;width:423;height:183" type="#_x0000_t202" id="docshape115" filled="false" stroked="false">
              <v:textbox inset="0,0,0,0">
                <w:txbxContent>
                  <w:p>
                    <w:pPr>
                      <w:spacing w:line="86" w:lineRule="exact" w:before="0"/>
                      <w:ind w:left="60" w:right="0" w:firstLine="0"/>
                      <w:jc w:val="left"/>
                      <w:rPr>
                        <w:rFonts w:ascii="Calibri"/>
                        <w:sz w:val="8"/>
                      </w:rPr>
                    </w:pPr>
                    <w:r>
                      <w:rPr>
                        <w:rFonts w:ascii="Calibri"/>
                        <w:color w:val="FFFFFF"/>
                        <w:spacing w:val="-1"/>
                        <w:w w:val="110"/>
                        <w:sz w:val="8"/>
                      </w:rPr>
                      <w:t>and</w:t>
                    </w:r>
                    <w:r>
                      <w:rPr>
                        <w:rFonts w:ascii="Calibri"/>
                        <w:color w:val="FFFFFF"/>
                        <w:spacing w:val="-6"/>
                        <w:w w:val="110"/>
                        <w:sz w:val="8"/>
                      </w:rPr>
                      <w:t> </w:t>
                    </w:r>
                    <w:r>
                      <w:rPr>
                        <w:rFonts w:ascii="Calibri"/>
                        <w:color w:val="FFFFFF"/>
                        <w:spacing w:val="-1"/>
                        <w:w w:val="110"/>
                        <w:sz w:val="8"/>
                      </w:rPr>
                      <w:t>Risk</w:t>
                    </w:r>
                  </w:p>
                  <w:p>
                    <w:pPr>
                      <w:spacing w:line="96" w:lineRule="exact" w:before="0"/>
                      <w:ind w:left="0" w:right="0" w:firstLine="0"/>
                      <w:jc w:val="left"/>
                      <w:rPr>
                        <w:rFonts w:ascii="Calibri"/>
                        <w:sz w:val="8"/>
                      </w:rPr>
                    </w:pPr>
                    <w:r>
                      <w:rPr>
                        <w:rFonts w:ascii="Calibri"/>
                        <w:color w:val="FFFFFF"/>
                        <w:w w:val="110"/>
                        <w:sz w:val="8"/>
                      </w:rPr>
                      <w:t>Perception</w:t>
                    </w:r>
                  </w:p>
                </w:txbxContent>
              </v:textbox>
              <w10:wrap type="none"/>
            </v:shape>
            <v:shape style="position:absolute;left:2568;top:6227;width:70;height:88" type="#_x0000_t202" id="docshape116" filled="false" stroked="false">
              <v:textbox inset="0,0,0,0">
                <w:txbxContent>
                  <w:p>
                    <w:pPr>
                      <w:spacing w:line="87" w:lineRule="exact" w:before="0"/>
                      <w:ind w:left="0" w:right="0" w:firstLine="0"/>
                      <w:jc w:val="left"/>
                      <w:rPr>
                        <w:rFonts w:ascii="Calibri"/>
                        <w:sz w:val="8"/>
                      </w:rPr>
                    </w:pPr>
                    <w:r>
                      <w:rPr>
                        <w:rFonts w:ascii="Calibri"/>
                        <w:color w:val="FFFFFF"/>
                        <w:w w:val="110"/>
                        <w:sz w:val="8"/>
                      </w:rPr>
                      <w:t>it</w:t>
                    </w:r>
                  </w:p>
                </w:txbxContent>
              </v:textbox>
              <w10:wrap type="none"/>
            </v:shape>
            <v:shape style="position:absolute;left:3452;top:6335;width:431;height:135" type="#_x0000_t202" id="docshape117" filled="true" fillcolor="#fbfbfb" stroked="true" strokeweight=".33874pt" strokecolor="#d0d6e4">
              <v:textbox inset="0,0,0,0">
                <w:txbxContent>
                  <w:p>
                    <w:pPr>
                      <w:spacing w:line="77" w:lineRule="exact" w:before="0"/>
                      <w:ind w:left="13" w:right="0" w:firstLine="0"/>
                      <w:jc w:val="left"/>
                      <w:rPr>
                        <w:rFonts w:ascii="Calibri"/>
                        <w:color w:val="000000"/>
                        <w:sz w:val="8"/>
                      </w:rPr>
                    </w:pPr>
                    <w:r>
                      <w:rPr>
                        <w:rFonts w:ascii="Calibri"/>
                        <w:color w:val="FFFFFF"/>
                        <w:w w:val="110"/>
                        <w:sz w:val="8"/>
                      </w:rPr>
                      <w:t>ardness</w:t>
                    </w:r>
                  </w:p>
                </w:txbxContent>
              </v:textbox>
              <v:fill type="solid"/>
              <v:stroke dashstyle="solid"/>
              <w10:wrap type="none"/>
            </v:shape>
            <v:shape style="position:absolute;left:3021;top:6335;width:431;height:135" type="#_x0000_t202" id="docshape118" filled="false" stroked="true" strokeweight=".338739pt" strokecolor="#d0d6e4">
              <v:textbox inset="0,0,0,0">
                <w:txbxContent>
                  <w:p>
                    <w:pPr>
                      <w:spacing w:line="77" w:lineRule="exact" w:before="0"/>
                      <w:ind w:left="269" w:right="-29" w:firstLine="0"/>
                      <w:jc w:val="left"/>
                      <w:rPr>
                        <w:rFonts w:ascii="Calibri"/>
                        <w:sz w:val="8"/>
                      </w:rPr>
                    </w:pPr>
                    <w:r>
                      <w:rPr>
                        <w:rFonts w:ascii="Calibri"/>
                        <w:color w:val="FFFFFF"/>
                        <w:w w:val="110"/>
                        <w:sz w:val="8"/>
                      </w:rPr>
                      <w:t>Prep</w:t>
                    </w:r>
                  </w:p>
                </w:txbxContent>
              </v:textbox>
              <v:stroke dashstyle="solid"/>
              <w10:wrap type="none"/>
            </v:shape>
            <v:shape style="position:absolute;left:2590;top:6335;width:432;height:135" type="#_x0000_t202" id="docshape119" filled="false" stroked="true" strokeweight=".338738pt" strokecolor="#d0d6e4">
              <v:textbox inset="0,0,0,0">
                <w:txbxContent>
                  <w:p>
                    <w:pPr>
                      <w:spacing w:line="77" w:lineRule="exact" w:before="0"/>
                      <w:ind w:left="-6" w:right="0" w:firstLine="0"/>
                      <w:jc w:val="left"/>
                      <w:rPr>
                        <w:rFonts w:ascii="Calibri"/>
                        <w:sz w:val="8"/>
                      </w:rPr>
                    </w:pPr>
                    <w:r>
                      <w:rPr>
                        <w:rFonts w:ascii="Calibri"/>
                        <w:color w:val="FFFFFF"/>
                        <w:w w:val="109"/>
                        <w:sz w:val="8"/>
                      </w:rPr>
                      <w:t>e</w:t>
                    </w:r>
                  </w:p>
                </w:txbxContent>
              </v:textbox>
              <v:stroke dashstyle="solid"/>
              <w10:wrap type="none"/>
            </v:shape>
            <v:shape style="position:absolute;left:2159;top:6335;width:431;height:135" type="#_x0000_t202" id="docshape120" filled="true" fillcolor="#fbfbfb" stroked="true" strokeweight=".338738pt" strokecolor="#d0d6e4">
              <v:textbox inset="0,0,0,0">
                <w:txbxContent>
                  <w:p>
                    <w:pPr>
                      <w:spacing w:line="77" w:lineRule="exact" w:before="0"/>
                      <w:ind w:left="103" w:right="0" w:firstLine="0"/>
                      <w:jc w:val="left"/>
                      <w:rPr>
                        <w:rFonts w:ascii="Calibri"/>
                        <w:color w:val="000000"/>
                        <w:sz w:val="8"/>
                      </w:rPr>
                    </w:pPr>
                    <w:r>
                      <w:rPr>
                        <w:rFonts w:ascii="Calibri"/>
                        <w:color w:val="FFFFFF"/>
                        <w:w w:val="110"/>
                        <w:sz w:val="8"/>
                      </w:rPr>
                      <w:t>Resilienc</w:t>
                    </w:r>
                  </w:p>
                </w:txbxContent>
              </v:textbox>
              <v:fill type="solid"/>
              <v:stroke dashstyle="solid"/>
              <w10:wrap type="none"/>
            </v:shape>
            <v:shape style="position:absolute;left:4745;top:6200;width:2869;height:135" type="#_x0000_t202" id="docshape121" filled="false" stroked="true" strokeweight=".338733pt" strokecolor="#d0d6e4">
              <v:textbox inset="0,0,0,0">
                <w:txbxContent>
                  <w:p>
                    <w:pPr>
                      <w:spacing w:line="87" w:lineRule="exact" w:before="41"/>
                      <w:ind w:left="947" w:right="940" w:firstLine="0"/>
                      <w:jc w:val="center"/>
                      <w:rPr>
                        <w:rFonts w:ascii="Calibri"/>
                        <w:sz w:val="10"/>
                      </w:rPr>
                    </w:pPr>
                    <w:r>
                      <w:rPr>
                        <w:rFonts w:ascii="Calibri"/>
                        <w:color w:val="FFFFFF"/>
                        <w:w w:val="110"/>
                        <w:sz w:val="10"/>
                      </w:rPr>
                      <w:t>Values</w:t>
                    </w:r>
                  </w:p>
                </w:txbxContent>
              </v:textbox>
              <v:stroke dashstyle="solid"/>
              <w10:wrap type="none"/>
            </v:shape>
            <v:shape style="position:absolute;left:3452;top:6200;width:431;height:135" type="#_x0000_t202" id="docshape122" filled="true" fillcolor="#fbfbfb" stroked="true" strokeweight=".33874pt" strokecolor="#d0d6e4">
              <v:textbox inset="0,0,0,0">
                <w:txbxContent>
                  <w:p>
                    <w:pPr>
                      <w:spacing w:before="13"/>
                      <w:ind w:left="-14" w:right="0" w:firstLine="0"/>
                      <w:jc w:val="left"/>
                      <w:rPr>
                        <w:rFonts w:ascii="Calibri"/>
                        <w:color w:val="000000"/>
                        <w:sz w:val="8"/>
                      </w:rPr>
                    </w:pPr>
                    <w:r>
                      <w:rPr>
                        <w:rFonts w:ascii="Calibri"/>
                        <w:color w:val="FFFFFF"/>
                        <w:w w:val="110"/>
                        <w:sz w:val="8"/>
                      </w:rPr>
                      <w:t>itutional</w:t>
                    </w:r>
                  </w:p>
                </w:txbxContent>
              </v:textbox>
              <v:fill type="solid"/>
              <v:stroke dashstyle="solid"/>
              <w10:wrap type="none"/>
            </v:shape>
            <v:shape style="position:absolute;left:3021;top:6200;width:431;height:135" type="#_x0000_t202" id="docshape123" filled="false" stroked="true" strokeweight=".338739pt" strokecolor="#d0d6e4">
              <v:textbox inset="0,0,0,0">
                <w:txbxContent>
                  <w:p>
                    <w:pPr>
                      <w:spacing w:before="13"/>
                      <w:ind w:left="0" w:right="1" w:firstLine="0"/>
                      <w:jc w:val="right"/>
                      <w:rPr>
                        <w:rFonts w:ascii="Calibri"/>
                        <w:sz w:val="8"/>
                      </w:rPr>
                    </w:pPr>
                    <w:r>
                      <w:rPr>
                        <w:rFonts w:ascii="Calibri"/>
                        <w:color w:val="FFFFFF"/>
                        <w:w w:val="110"/>
                        <w:sz w:val="8"/>
                      </w:rPr>
                      <w:t>Inst</w:t>
                    </w:r>
                  </w:p>
                </w:txbxContent>
              </v:textbox>
              <v:stroke dashstyle="solid"/>
              <w10:wrap type="none"/>
            </v:shape>
            <v:shape style="position:absolute;left:2590;top:6200;width:432;height:135" type="#_x0000_t202" id="docshape124" filled="false" stroked="true" strokeweight=".338738pt" strokecolor="#d0d6e4">
              <v:textbox inset="0,0,0,0">
                <w:txbxContent>
                  <w:p>
                    <w:pPr>
                      <w:spacing w:before="13"/>
                      <w:ind w:left="21" w:right="0" w:firstLine="0"/>
                      <w:jc w:val="left"/>
                      <w:rPr>
                        <w:rFonts w:ascii="Calibri"/>
                        <w:sz w:val="8"/>
                      </w:rPr>
                    </w:pPr>
                    <w:r>
                      <w:rPr>
                        <w:rFonts w:ascii="Calibri"/>
                        <w:color w:val="FFFFFF"/>
                        <w:w w:val="109"/>
                        <w:sz w:val="8"/>
                      </w:rPr>
                      <w:t>y</w:t>
                    </w:r>
                  </w:p>
                </w:txbxContent>
              </v:textbox>
              <v:stroke dashstyle="solid"/>
              <w10:wrap type="none"/>
            </v:shape>
            <v:shape style="position:absolute;left:2159;top:6200;width:431;height:135" type="#_x0000_t202" id="docshape125" filled="true" fillcolor="#fbfbfb" stroked="true" strokeweight=".338738pt" strokecolor="#d0d6e4">
              <v:textbox inset="0,0,0,0">
                <w:txbxContent>
                  <w:p>
                    <w:pPr>
                      <w:spacing w:before="13"/>
                      <w:ind w:left="83" w:right="0" w:firstLine="0"/>
                      <w:jc w:val="left"/>
                      <w:rPr>
                        <w:rFonts w:ascii="Calibri"/>
                        <w:color w:val="000000"/>
                        <w:sz w:val="8"/>
                      </w:rPr>
                    </w:pPr>
                    <w:r>
                      <w:rPr>
                        <w:rFonts w:ascii="Calibri"/>
                        <w:color w:val="FFFFFF"/>
                        <w:w w:val="110"/>
                        <w:sz w:val="8"/>
                      </w:rPr>
                      <w:t>Commun</w:t>
                    </w:r>
                  </w:p>
                </w:txbxContent>
              </v:textbox>
              <v:fill type="solid"/>
              <v:stroke dashstyle="solid"/>
              <w10:wrap type="none"/>
            </v:shape>
            <v:shape style="position:absolute;left:4745;top:6065;width:2869;height:135" type="#_x0000_t202" id="docshape126" filled="false" stroked="true" strokeweight=".338733pt" strokecolor="#d0d6e4">
              <v:textbox inset="0,0,0,0">
                <w:txbxContent>
                  <w:p>
                    <w:pPr>
                      <w:spacing w:line="73" w:lineRule="exact" w:before="54"/>
                      <w:ind w:left="943" w:right="940" w:firstLine="0"/>
                      <w:jc w:val="center"/>
                      <w:rPr>
                        <w:rFonts w:ascii="Calibri"/>
                        <w:sz w:val="10"/>
                      </w:rPr>
                    </w:pPr>
                    <w:r>
                      <w:rPr>
                        <w:rFonts w:ascii="Calibri"/>
                        <w:color w:val="FFFFFF"/>
                        <w:w w:val="110"/>
                        <w:sz w:val="10"/>
                      </w:rPr>
                      <w:t>Cultural</w:t>
                    </w:r>
                  </w:p>
                </w:txbxContent>
              </v:textbox>
              <v:stroke dashstyle="solid"/>
              <w10:wrap type="none"/>
            </v:shape>
            <v:shape style="position:absolute;left:7614;top:5661;width:1294;height:135" type="#_x0000_t202" id="docshape127" filled="false" stroked="true" strokeweight=".338749pt" strokecolor="#d0d6e4">
              <v:textbox inset="0,0,0,0">
                <w:txbxContent>
                  <w:p>
                    <w:pPr>
                      <w:spacing w:line="128" w:lineRule="exact" w:before="0"/>
                      <w:ind w:left="682" w:right="-44" w:firstLine="0"/>
                      <w:jc w:val="left"/>
                      <w:rPr>
                        <w:rFonts w:ascii="Calibri"/>
                        <w:sz w:val="21"/>
                      </w:rPr>
                    </w:pPr>
                    <w:r>
                      <w:rPr>
                        <w:rFonts w:ascii="Calibri"/>
                        <w:color w:val="FFFFFF"/>
                        <w:sz w:val="21"/>
                      </w:rPr>
                      <w:t>Factors</w:t>
                    </w:r>
                  </w:p>
                </w:txbxContent>
              </v:textbox>
              <v:stroke dashstyle="solid"/>
              <w10:wrap type="none"/>
            </v:shape>
            <v:shape style="position:absolute;left:4745;top:5661;width:2869;height:135" type="#_x0000_t202" id="docshape128" filled="false" stroked="true" strokeweight=".338733pt" strokecolor="#d0d6e4">
              <v:textbox inset="0,0,0,0">
                <w:txbxContent>
                  <w:p>
                    <w:pPr>
                      <w:spacing w:line="128" w:lineRule="exact" w:before="0"/>
                      <w:ind w:left="942" w:right="940" w:firstLine="0"/>
                      <w:jc w:val="center"/>
                      <w:rPr>
                        <w:rFonts w:ascii="Calibri"/>
                        <w:sz w:val="12"/>
                      </w:rPr>
                    </w:pPr>
                    <w:r>
                      <w:rPr>
                        <w:rFonts w:ascii="Calibri"/>
                        <w:color w:val="FFFFFF"/>
                        <w:w w:val="105"/>
                        <w:sz w:val="12"/>
                      </w:rPr>
                      <w:t>Power</w:t>
                    </w:r>
                  </w:p>
                </w:txbxContent>
              </v:textbox>
              <v:stroke dashstyle="solid"/>
              <w10:wrap type="none"/>
            </v:shape>
            <v:shape style="position:absolute;left:4745;top:5527;width:2869;height:135" type="#_x0000_t202" id="docshape129" filled="false" stroked="true" strokeweight=".338733pt" strokecolor="#d0d6e4">
              <v:textbox inset="0,0,0,0">
                <w:txbxContent>
                  <w:p>
                    <w:pPr>
                      <w:spacing w:line="128" w:lineRule="exact" w:before="0"/>
                      <w:ind w:left="954" w:right="940" w:firstLine="0"/>
                      <w:jc w:val="center"/>
                      <w:rPr>
                        <w:rFonts w:ascii="Calibri"/>
                        <w:sz w:val="12"/>
                      </w:rPr>
                    </w:pPr>
                    <w:r>
                      <w:rPr>
                        <w:rFonts w:ascii="Calibri"/>
                        <w:color w:val="FFFFFF"/>
                        <w:w w:val="105"/>
                        <w:sz w:val="12"/>
                      </w:rPr>
                      <w:t>Political</w:t>
                    </w:r>
                  </w:p>
                </w:txbxContent>
              </v:textbox>
              <v:stroke dashstyle="solid"/>
              <w10:wrap type="none"/>
            </v:shape>
            <v:shape style="position:absolute;left:8907;top:5392;width:432;height:135" type="#_x0000_t202" id="docshape130" filled="false" stroked="true" strokeweight=".338749pt" strokecolor="#d0d6e4">
              <v:textbox inset="0,0,0,0">
                <w:txbxContent>
                  <w:p>
                    <w:pPr>
                      <w:spacing w:line="128" w:lineRule="exact" w:before="0"/>
                      <w:ind w:left="-11" w:right="0" w:firstLine="0"/>
                      <w:jc w:val="left"/>
                      <w:rPr>
                        <w:rFonts w:ascii="Calibri"/>
                        <w:sz w:val="21"/>
                      </w:rPr>
                    </w:pPr>
                    <w:r>
                      <w:rPr>
                        <w:rFonts w:ascii="Calibri"/>
                        <w:color w:val="FFFFFF"/>
                        <w:w w:val="102"/>
                        <w:sz w:val="21"/>
                      </w:rPr>
                      <w:t>e</w:t>
                    </w:r>
                  </w:p>
                </w:txbxContent>
              </v:textbox>
              <v:stroke dashstyle="solid"/>
              <w10:wrap type="none"/>
            </v:shape>
            <v:shape style="position:absolute;left:7614;top:5392;width:1294;height:135" type="#_x0000_t202" id="docshape131" filled="false" stroked="true" strokeweight=".338749pt" strokecolor="#d0d6e4">
              <v:textbox inset="0,0,0,0">
                <w:txbxContent>
                  <w:p>
                    <w:pPr>
                      <w:spacing w:line="128" w:lineRule="exact" w:before="0"/>
                      <w:ind w:left="621" w:right="0" w:firstLine="0"/>
                      <w:jc w:val="left"/>
                      <w:rPr>
                        <w:rFonts w:ascii="Calibri"/>
                        <w:sz w:val="21"/>
                      </w:rPr>
                    </w:pPr>
                    <w:r>
                      <w:rPr>
                        <w:rFonts w:ascii="Calibri"/>
                        <w:color w:val="FFFFFF"/>
                        <w:sz w:val="21"/>
                      </w:rPr>
                      <w:t>Ultimat</w:t>
                    </w:r>
                  </w:p>
                </w:txbxContent>
              </v:textbox>
              <v:stroke dashstyle="solid"/>
              <w10:wrap type="none"/>
            </v:shape>
            <v:shape style="position:absolute;left:4745;top:5392;width:2869;height:135" type="#_x0000_t202" id="docshape132" filled="false" stroked="true" strokeweight=".338733pt" strokecolor="#d0d6e4">
              <v:textbox inset="0,0,0,0">
                <w:txbxContent>
                  <w:p>
                    <w:pPr>
                      <w:spacing w:line="97" w:lineRule="exact" w:before="0"/>
                      <w:ind w:left="951" w:right="940" w:firstLine="0"/>
                      <w:jc w:val="center"/>
                      <w:rPr>
                        <w:rFonts w:ascii="Calibri"/>
                        <w:sz w:val="13"/>
                      </w:rPr>
                    </w:pPr>
                    <w:r>
                      <w:rPr>
                        <w:rFonts w:ascii="Calibri"/>
                        <w:color w:val="FFFFFF"/>
                        <w:sz w:val="13"/>
                      </w:rPr>
                      <w:t>Socio-</w:t>
                    </w:r>
                  </w:p>
                </w:txbxContent>
              </v:textbox>
              <v:stroke dashstyle="solid"/>
              <w10:wrap type="none"/>
            </v:shape>
            <v:shape style="position:absolute;left:2159;top:5257;width:431;height:135" type="#_x0000_t202" id="docshape133" filled="true" fillcolor="#fbfbfb" stroked="true" strokeweight=".338738pt" strokecolor="#d0d6e4">
              <v:textbox inset="0,0,0,0">
                <w:txbxContent>
                  <w:p>
                    <w:pPr>
                      <w:spacing w:line="80" w:lineRule="exact" w:before="0"/>
                      <w:ind w:left="19" w:right="0" w:firstLine="0"/>
                      <w:jc w:val="left"/>
                      <w:rPr>
                        <w:rFonts w:ascii="Calibri"/>
                        <w:color w:val="000000"/>
                        <w:sz w:val="8"/>
                      </w:rPr>
                    </w:pPr>
                    <w:r>
                      <w:rPr>
                        <w:rFonts w:ascii="Calibri"/>
                        <w:color w:val="FFFFFF"/>
                        <w:w w:val="110"/>
                        <w:sz w:val="8"/>
                      </w:rPr>
                      <w:t>Care</w:t>
                    </w:r>
                  </w:p>
                </w:txbxContent>
              </v:textbox>
              <v:fill type="solid"/>
              <v:stroke dashstyle="solid"/>
              <w10:wrap type="none"/>
            </v:shape>
            <v:shape style="position:absolute;left:1728;top:5257;width:431;height:135" type="#_x0000_t202" id="docshape134" filled="true" fillcolor="#fbfbfb" stroked="true" strokeweight=".338729pt" strokecolor="#d0d6e4">
              <v:textbox inset="0,0,0,0">
                <w:txbxContent>
                  <w:p>
                    <w:pPr>
                      <w:spacing w:line="80" w:lineRule="exact" w:before="0"/>
                      <w:ind w:left="154" w:right="-15" w:firstLine="0"/>
                      <w:jc w:val="left"/>
                      <w:rPr>
                        <w:rFonts w:ascii="Calibri"/>
                        <w:color w:val="000000"/>
                        <w:sz w:val="8"/>
                      </w:rPr>
                    </w:pPr>
                    <w:r>
                      <w:rPr>
                        <w:rFonts w:ascii="Calibri"/>
                        <w:color w:val="FFFFFF"/>
                        <w:w w:val="110"/>
                        <w:sz w:val="8"/>
                      </w:rPr>
                      <w:t>medical</w:t>
                    </w:r>
                  </w:p>
                </w:txbxContent>
              </v:textbox>
              <v:fill type="solid"/>
              <v:stroke dashstyle="solid"/>
              <w10:wrap type="none"/>
            </v:shape>
            <v:shape style="position:absolute;left:4745;top:5122;width:2869;height:135" type="#_x0000_t202" id="docshape135" filled="false" stroked="true" strokeweight=".338733pt" strokecolor="#d0d6e4">
              <v:textbox inset="0,0,0,0">
                <w:txbxContent>
                  <w:p>
                    <w:pPr>
                      <w:spacing w:line="128" w:lineRule="exact" w:before="0"/>
                      <w:ind w:left="956" w:right="940" w:firstLine="0"/>
                      <w:jc w:val="center"/>
                      <w:rPr>
                        <w:rFonts w:ascii="Calibri"/>
                        <w:sz w:val="12"/>
                      </w:rPr>
                    </w:pPr>
                    <w:r>
                      <w:rPr>
                        <w:rFonts w:ascii="Calibri"/>
                        <w:color w:val="FFFFFF"/>
                        <w:w w:val="105"/>
                        <w:sz w:val="12"/>
                      </w:rPr>
                      <w:t>Education</w:t>
                    </w:r>
                  </w:p>
                </w:txbxContent>
              </v:textbox>
              <v:stroke dashstyle="solid"/>
              <w10:wrap type="none"/>
            </v:shape>
            <v:shape style="position:absolute;left:3883;top:5122;width:863;height:135" type="#_x0000_t202" id="docshape136" filled="false" stroked="true" strokeweight=".338725pt" strokecolor="#d0d6e4">
              <v:textbox inset="0,0,0,0">
                <w:txbxContent>
                  <w:p>
                    <w:pPr>
                      <w:spacing w:before="18"/>
                      <w:ind w:left="2" w:right="0" w:firstLine="0"/>
                      <w:jc w:val="left"/>
                      <w:rPr>
                        <w:rFonts w:ascii="Calibri"/>
                        <w:sz w:val="8"/>
                      </w:rPr>
                    </w:pPr>
                    <w:r>
                      <w:rPr>
                        <w:rFonts w:ascii="Calibri"/>
                        <w:color w:val="FFFFFF"/>
                        <w:w w:val="110"/>
                        <w:sz w:val="8"/>
                      </w:rPr>
                      <w:t>ation</w:t>
                    </w:r>
                  </w:p>
                </w:txbxContent>
              </v:textbox>
              <v:stroke dashstyle="solid"/>
              <w10:wrap type="none"/>
            </v:shape>
            <v:shape style="position:absolute;left:3452;top:5122;width:431;height:135" type="#_x0000_t202" id="docshape137" filled="true" fillcolor="#fbfbfb" stroked="true" strokeweight=".33874pt" strokecolor="#d0d6e4">
              <v:textbox inset="0,0,0,0">
                <w:txbxContent>
                  <w:p>
                    <w:pPr>
                      <w:spacing w:before="18"/>
                      <w:ind w:left="191" w:right="-15" w:firstLine="0"/>
                      <w:jc w:val="left"/>
                      <w:rPr>
                        <w:rFonts w:ascii="Calibri"/>
                        <w:color w:val="000000"/>
                        <w:sz w:val="8"/>
                      </w:rPr>
                    </w:pPr>
                    <w:r>
                      <w:rPr>
                        <w:rFonts w:ascii="Calibri"/>
                        <w:color w:val="FFFFFF"/>
                        <w:w w:val="110"/>
                        <w:sz w:val="8"/>
                      </w:rPr>
                      <w:t>Inform</w:t>
                    </w:r>
                  </w:p>
                </w:txbxContent>
              </v:textbox>
              <v:fill type="solid"/>
              <v:stroke dashstyle="solid"/>
              <w10:wrap type="none"/>
            </v:shape>
            <v:shape style="position:absolute;left:4745;top:4718;width:2869;height:135" type="#_x0000_t202" id="docshape138" filled="false" stroked="true" strokeweight=".338733pt" strokecolor="#d0d6e4">
              <v:textbox inset="0,0,0,0">
                <w:txbxContent>
                  <w:p>
                    <w:pPr>
                      <w:spacing w:line="104" w:lineRule="exact" w:before="24"/>
                      <w:ind w:left="952" w:right="940" w:firstLine="0"/>
                      <w:jc w:val="center"/>
                      <w:rPr>
                        <w:rFonts w:ascii="Calibri"/>
                        <w:sz w:val="12"/>
                      </w:rPr>
                    </w:pPr>
                    <w:r>
                      <w:rPr>
                        <w:rFonts w:ascii="Calibri"/>
                        <w:color w:val="FFFFFF"/>
                        <w:spacing w:val="-1"/>
                        <w:w w:val="105"/>
                        <w:sz w:val="12"/>
                      </w:rPr>
                      <w:t>of</w:t>
                    </w:r>
                    <w:r>
                      <w:rPr>
                        <w:rFonts w:ascii="Calibri"/>
                        <w:color w:val="FFFFFF"/>
                        <w:spacing w:val="-7"/>
                        <w:w w:val="105"/>
                        <w:sz w:val="12"/>
                      </w:rPr>
                      <w:t> </w:t>
                    </w:r>
                    <w:r>
                      <w:rPr>
                        <w:rFonts w:ascii="Calibri"/>
                        <w:color w:val="FFFFFF"/>
                        <w:w w:val="105"/>
                        <w:sz w:val="12"/>
                      </w:rPr>
                      <w:t>Living</w:t>
                    </w:r>
                  </w:p>
                </w:txbxContent>
              </v:textbox>
              <v:stroke dashstyle="solid"/>
              <w10:wrap type="none"/>
            </v:shape>
            <v:shape style="position:absolute;left:4745;top:4584;width:2869;height:135" type="#_x0000_t202" id="docshape139" filled="false" stroked="true" strokeweight=".338733pt" strokecolor="#d0d6e4">
              <v:textbox inset="0,0,0,0">
                <w:txbxContent>
                  <w:p>
                    <w:pPr>
                      <w:spacing w:line="120" w:lineRule="exact" w:before="8"/>
                      <w:ind w:left="946" w:right="940" w:firstLine="0"/>
                      <w:jc w:val="center"/>
                      <w:rPr>
                        <w:rFonts w:ascii="Calibri"/>
                        <w:sz w:val="13"/>
                      </w:rPr>
                    </w:pPr>
                    <w:r>
                      <w:rPr>
                        <w:rFonts w:ascii="Calibri"/>
                        <w:color w:val="FFFFFF"/>
                        <w:sz w:val="13"/>
                      </w:rPr>
                      <w:t>Standard</w:t>
                    </w:r>
                  </w:p>
                </w:txbxContent>
              </v:textbox>
              <v:stroke dashstyle="solid"/>
              <w10:wrap type="none"/>
            </v:shape>
            <v:shape style="position:absolute;left:3021;top:4584;width:431;height:135" type="#_x0000_t202" id="docshape140" filled="true" fillcolor="#fbfbfb" stroked="true" strokeweight=".338739pt" strokecolor="#d0d6e4">
              <v:textbox inset="0,0,0,0">
                <w:txbxContent>
                  <w:p>
                    <w:pPr>
                      <w:spacing w:line="71" w:lineRule="exact" w:before="0"/>
                      <w:ind w:left="27" w:right="0" w:firstLine="0"/>
                      <w:jc w:val="left"/>
                      <w:rPr>
                        <w:rFonts w:ascii="Calibri"/>
                        <w:color w:val="000000"/>
                        <w:sz w:val="8"/>
                      </w:rPr>
                    </w:pPr>
                    <w:r>
                      <w:rPr>
                        <w:rFonts w:ascii="Calibri"/>
                        <w:color w:val="FFFFFF"/>
                        <w:w w:val="110"/>
                        <w:sz w:val="8"/>
                      </w:rPr>
                      <w:t>ual</w:t>
                    </w:r>
                  </w:p>
                  <w:p>
                    <w:pPr>
                      <w:spacing w:line="53" w:lineRule="exact" w:before="3"/>
                      <w:ind w:left="-20" w:right="0" w:firstLine="0"/>
                      <w:jc w:val="left"/>
                      <w:rPr>
                        <w:rFonts w:ascii="Calibri"/>
                        <w:color w:val="000000"/>
                        <w:sz w:val="8"/>
                      </w:rPr>
                    </w:pPr>
                    <w:r>
                      <w:rPr>
                        <w:rFonts w:ascii="Calibri"/>
                        <w:color w:val="FFFFFF"/>
                        <w:w w:val="110"/>
                        <w:sz w:val="8"/>
                      </w:rPr>
                      <w:t>ors</w:t>
                    </w:r>
                  </w:p>
                </w:txbxContent>
              </v:textbox>
              <v:fill type="solid"/>
              <v:stroke dashstyle="solid"/>
              <w10:wrap type="none"/>
            </v:shape>
            <v:shape style="position:absolute;left:2590;top:4584;width:432;height:135" type="#_x0000_t202" id="docshape141" filled="true" fillcolor="#fbfbfb" stroked="true" strokeweight=".338738pt" strokecolor="#d0d6e4">
              <v:textbox inset="0,0,0,0">
                <w:txbxContent>
                  <w:p>
                    <w:pPr>
                      <w:spacing w:line="71" w:lineRule="exact" w:before="0"/>
                      <w:ind w:left="216" w:right="-44" w:firstLine="0"/>
                      <w:jc w:val="left"/>
                      <w:rPr>
                        <w:rFonts w:ascii="Calibri"/>
                        <w:color w:val="000000"/>
                        <w:sz w:val="8"/>
                      </w:rPr>
                    </w:pPr>
                    <w:r>
                      <w:rPr>
                        <w:rFonts w:ascii="Calibri"/>
                        <w:color w:val="FFFFFF"/>
                        <w:w w:val="110"/>
                        <w:sz w:val="8"/>
                      </w:rPr>
                      <w:t>Individ</w:t>
                    </w:r>
                  </w:p>
                  <w:p>
                    <w:pPr>
                      <w:spacing w:line="53" w:lineRule="exact" w:before="3"/>
                      <w:ind w:left="264" w:right="0" w:firstLine="0"/>
                      <w:jc w:val="left"/>
                      <w:rPr>
                        <w:rFonts w:ascii="Calibri"/>
                        <w:color w:val="000000"/>
                        <w:sz w:val="8"/>
                      </w:rPr>
                    </w:pPr>
                    <w:r>
                      <w:rPr>
                        <w:rFonts w:ascii="Calibri"/>
                        <w:color w:val="FFFFFF"/>
                        <w:w w:val="110"/>
                        <w:sz w:val="8"/>
                      </w:rPr>
                      <w:t>Fact</w:t>
                    </w:r>
                  </w:p>
                </w:txbxContent>
              </v:textbox>
              <v:fill type="solid"/>
              <v:stroke dashstyle="solid"/>
              <w10:wrap type="none"/>
            </v:shape>
            <v:shape style="position:absolute;left:4745;top:3910;width:2869;height:135" type="#_x0000_t202" id="docshape142" filled="false" stroked="true" strokeweight=".338733pt" strokecolor="#d0d6e4">
              <v:textbox inset="0,0,0,0">
                <w:txbxContent>
                  <w:p>
                    <w:pPr>
                      <w:spacing w:before="5"/>
                      <w:ind w:left="1163" w:right="529" w:firstLine="0"/>
                      <w:jc w:val="center"/>
                      <w:rPr>
                        <w:rFonts w:ascii="Calibri"/>
                        <w:b/>
                        <w:sz w:val="10"/>
                      </w:rPr>
                    </w:pPr>
                    <w:r>
                      <w:rPr>
                        <w:rFonts w:ascii="Calibri"/>
                        <w:b/>
                        <w:sz w:val="10"/>
                      </w:rPr>
                      <w:t>Gender</w:t>
                    </w:r>
                  </w:p>
                </w:txbxContent>
              </v:textbox>
              <v:stroke dashstyle="solid"/>
              <w10:wrap type="none"/>
            </v:shape>
            <v:shape style="position:absolute;left:4745;top:3776;width:2869;height:135" type="#_x0000_t202" id="docshape143" filled="false" stroked="true" strokeweight=".338733pt" strokecolor="#d0d6e4">
              <v:textbox inset="0,0,0,0">
                <w:txbxContent>
                  <w:p>
                    <w:pPr>
                      <w:spacing w:before="6"/>
                      <w:ind w:left="1589" w:right="0" w:firstLine="0"/>
                      <w:jc w:val="left"/>
                      <w:rPr>
                        <w:rFonts w:ascii="Calibri"/>
                        <w:b/>
                        <w:sz w:val="10"/>
                      </w:rPr>
                    </w:pPr>
                    <w:r>
                      <w:rPr>
                        <w:rFonts w:ascii="Calibri"/>
                        <w:b/>
                        <w:sz w:val="10"/>
                      </w:rPr>
                      <w:t>Physical</w:t>
                    </w:r>
                    <w:r>
                      <w:rPr>
                        <w:rFonts w:ascii="Calibri"/>
                        <w:b/>
                        <w:spacing w:val="-5"/>
                        <w:sz w:val="10"/>
                      </w:rPr>
                      <w:t> </w:t>
                    </w:r>
                    <w:r>
                      <w:rPr>
                        <w:rFonts w:ascii="Calibri"/>
                        <w:b/>
                        <w:sz w:val="10"/>
                      </w:rPr>
                      <w:t>Capacity</w:t>
                    </w:r>
                  </w:p>
                </w:txbxContent>
              </v:textbox>
              <v:stroke dashstyle="solid"/>
              <w10:wrap type="none"/>
            </v:shape>
            <v:shape style="position:absolute;left:4745;top:3641;width:2007;height:135" type="#_x0000_t202" id="docshape144" filled="false" stroked="true" strokeweight=".338733pt" strokecolor="#d0d6e4">
              <v:textbox inset="0,0,0,0">
                <w:txbxContent>
                  <w:p>
                    <w:pPr>
                      <w:spacing w:before="5"/>
                      <w:ind w:left="0" w:right="45" w:firstLine="0"/>
                      <w:jc w:val="right"/>
                      <w:rPr>
                        <w:rFonts w:ascii="Calibri"/>
                        <w:b/>
                        <w:sz w:val="10"/>
                      </w:rPr>
                    </w:pPr>
                    <w:r>
                      <w:rPr>
                        <w:rFonts w:ascii="Calibri"/>
                        <w:b/>
                        <w:sz w:val="10"/>
                      </w:rPr>
                      <w:t>Ethnicity</w:t>
                    </w:r>
                  </w:p>
                </w:txbxContent>
              </v:textbox>
              <v:stroke dashstyle="solid"/>
              <w10:wrap type="none"/>
            </v:shape>
            <v:shape style="position:absolute;left:4745;top:3506;width:2007;height:135" type="#_x0000_t202" id="docshape145" filled="false" stroked="true" strokeweight=".338733pt" strokecolor="#d0d6e4">
              <v:textbox inset="0,0,0,0">
                <w:txbxContent>
                  <w:p>
                    <w:pPr>
                      <w:spacing w:before="6"/>
                      <w:ind w:left="0" w:right="250" w:firstLine="0"/>
                      <w:jc w:val="right"/>
                      <w:rPr>
                        <w:rFonts w:ascii="Calibri"/>
                        <w:b/>
                        <w:sz w:val="10"/>
                      </w:rPr>
                    </w:pPr>
                    <w:r>
                      <w:rPr>
                        <w:rFonts w:ascii="Calibri"/>
                        <w:b/>
                        <w:sz w:val="10"/>
                      </w:rPr>
                      <w:t>Age</w:t>
                    </w:r>
                  </w:p>
                </w:txbxContent>
              </v:textbox>
              <v:stroke dashstyle="solid"/>
              <w10:wrap type="none"/>
            </v:shape>
            <v:shape style="position:absolute;left:4745;top:3372;width:2007;height:135" type="#_x0000_t202" id="docshape146" filled="false" stroked="true" strokeweight=".338733pt" strokecolor="#d0d6e4">
              <v:textbox inset="0,0,0,0">
                <w:txbxContent>
                  <w:p>
                    <w:pPr>
                      <w:spacing w:line="95" w:lineRule="exact" w:before="33"/>
                      <w:ind w:left="375" w:right="0" w:firstLine="0"/>
                      <w:jc w:val="left"/>
                      <w:rPr>
                        <w:rFonts w:ascii="Calibri"/>
                        <w:sz w:val="10"/>
                      </w:rPr>
                    </w:pPr>
                    <w:r>
                      <w:rPr>
                        <w:rFonts w:ascii="Calibri"/>
                        <w:color w:val="FFFFFF"/>
                        <w:sz w:val="10"/>
                      </w:rPr>
                      <w:t>Perception</w:t>
                    </w:r>
                  </w:p>
                </w:txbxContent>
              </v:textbox>
              <v:stroke dashstyle="solid"/>
              <w10:wrap type="none"/>
            </v:shape>
            <v:shape style="position:absolute;left:6337;top:3266;width:361;height:101" type="#_x0000_t202" id="docshape147" filled="false" stroked="false">
              <v:textbox inset="0,0,0,0">
                <w:txbxContent>
                  <w:p>
                    <w:pPr>
                      <w:spacing w:line="101" w:lineRule="exact" w:before="0"/>
                      <w:ind w:left="0" w:right="0" w:firstLine="0"/>
                      <w:jc w:val="left"/>
                      <w:rPr>
                        <w:rFonts w:ascii="Calibri"/>
                        <w:b/>
                        <w:sz w:val="10"/>
                      </w:rPr>
                    </w:pPr>
                    <w:r>
                      <w:rPr>
                        <w:rFonts w:ascii="Calibri"/>
                        <w:b/>
                        <w:sz w:val="10"/>
                      </w:rPr>
                      <w:t>in</w:t>
                    </w:r>
                    <w:r>
                      <w:rPr>
                        <w:rFonts w:ascii="Calibri"/>
                        <w:b/>
                        <w:spacing w:val="-4"/>
                        <w:sz w:val="10"/>
                      </w:rPr>
                      <w:t> </w:t>
                    </w:r>
                    <w:r>
                      <w:rPr>
                        <w:rFonts w:ascii="Calibri"/>
                        <w:b/>
                        <w:sz w:val="10"/>
                      </w:rPr>
                      <w:t>Space</w:t>
                    </w:r>
                  </w:p>
                </w:txbxContent>
              </v:textbox>
              <w10:wrap type="none"/>
            </v:shape>
            <v:shape style="position:absolute;left:5265;top:3306;width:181;height:101" type="#_x0000_t202" id="docshape148" filled="false" stroked="false">
              <v:textbox inset="0,0,0,0">
                <w:txbxContent>
                  <w:p>
                    <w:pPr>
                      <w:spacing w:line="101" w:lineRule="exact" w:before="0"/>
                      <w:ind w:left="0" w:right="0" w:firstLine="0"/>
                      <w:jc w:val="left"/>
                      <w:rPr>
                        <w:rFonts w:ascii="Calibri"/>
                        <w:sz w:val="10"/>
                      </w:rPr>
                    </w:pPr>
                    <w:r>
                      <w:rPr>
                        <w:rFonts w:ascii="Calibri"/>
                        <w:color w:val="FFFFFF"/>
                        <w:sz w:val="10"/>
                      </w:rPr>
                      <w:t>Risk</w:t>
                    </w:r>
                  </w:p>
                </w:txbxContent>
              </v:textbox>
              <w10:wrap type="none"/>
            </v:shape>
            <v:shape style="position:absolute;left:6337;top:3131;width:1187;height:101" type="#_x0000_t202" id="docshape149" filled="false" stroked="false">
              <v:textbox inset="0,0,0,0">
                <w:txbxContent>
                  <w:p>
                    <w:pPr>
                      <w:spacing w:line="101" w:lineRule="exact" w:before="0"/>
                      <w:ind w:left="0" w:right="0" w:firstLine="0"/>
                      <w:jc w:val="left"/>
                      <w:rPr>
                        <w:rFonts w:ascii="Calibri"/>
                        <w:b/>
                        <w:sz w:val="10"/>
                      </w:rPr>
                    </w:pPr>
                    <w:r>
                      <w:rPr>
                        <w:rFonts w:ascii="Calibri"/>
                        <w:b/>
                        <w:sz w:val="10"/>
                      </w:rPr>
                      <w:t>type</w:t>
                    </w:r>
                    <w:r>
                      <w:rPr>
                        <w:rFonts w:ascii="Calibri"/>
                        <w:b/>
                        <w:spacing w:val="-1"/>
                        <w:sz w:val="10"/>
                      </w:rPr>
                      <w:t> </w:t>
                    </w:r>
                    <w:r>
                      <w:rPr>
                        <w:rFonts w:ascii="Calibri"/>
                        <w:b/>
                        <w:sz w:val="10"/>
                      </w:rPr>
                      <w:t>and</w:t>
                    </w:r>
                    <w:r>
                      <w:rPr>
                        <w:rFonts w:ascii="Calibri"/>
                        <w:b/>
                        <w:spacing w:val="-3"/>
                        <w:sz w:val="10"/>
                      </w:rPr>
                      <w:t> </w:t>
                    </w:r>
                    <w:r>
                      <w:rPr>
                        <w:rFonts w:ascii="Calibri"/>
                        <w:b/>
                        <w:sz w:val="10"/>
                      </w:rPr>
                      <w:t>Location   </w:t>
                    </w:r>
                    <w:r>
                      <w:rPr>
                        <w:rFonts w:ascii="Calibri"/>
                        <w:b/>
                        <w:spacing w:val="6"/>
                        <w:sz w:val="10"/>
                      </w:rPr>
                      <w:t> </w:t>
                    </w:r>
                    <w:r>
                      <w:rPr>
                        <w:rFonts w:ascii="Calibri"/>
                        <w:b/>
                        <w:sz w:val="10"/>
                      </w:rPr>
                      <w:t>Habitat</w:t>
                    </w:r>
                  </w:p>
                </w:txbxContent>
              </v:textbox>
              <w10:wrap type="none"/>
            </v:shape>
            <v:shape style="position:absolute;left:5056;top:3070;width:607;height:223" type="#_x0000_t202" id="docshape150" filled="false" stroked="false">
              <v:textbox inset="0,0,0,0">
                <w:txbxContent>
                  <w:p>
                    <w:pPr>
                      <w:spacing w:line="102" w:lineRule="exact" w:before="0"/>
                      <w:ind w:left="60" w:right="0" w:firstLine="0"/>
                      <w:jc w:val="left"/>
                      <w:rPr>
                        <w:rFonts w:ascii="Calibri"/>
                        <w:sz w:val="10"/>
                      </w:rPr>
                    </w:pPr>
                    <w:r>
                      <w:rPr>
                        <w:rFonts w:ascii="Calibri"/>
                        <w:color w:val="FFFFFF"/>
                        <w:spacing w:val="-1"/>
                        <w:sz w:val="10"/>
                      </w:rPr>
                      <w:t>Factors</w:t>
                    </w:r>
                    <w:r>
                      <w:rPr>
                        <w:rFonts w:ascii="Calibri"/>
                        <w:color w:val="FFFFFF"/>
                        <w:spacing w:val="-9"/>
                        <w:sz w:val="10"/>
                      </w:rPr>
                      <w:t> </w:t>
                    </w:r>
                    <w:r>
                      <w:rPr>
                        <w:rFonts w:ascii="Calibri"/>
                        <w:color w:val="FFFFFF"/>
                        <w:sz w:val="10"/>
                      </w:rPr>
                      <w:t>and</w:t>
                    </w:r>
                  </w:p>
                  <w:p>
                    <w:pPr>
                      <w:spacing w:line="120" w:lineRule="exact" w:before="0"/>
                      <w:ind w:left="0" w:right="0" w:firstLine="0"/>
                      <w:jc w:val="left"/>
                      <w:rPr>
                        <w:rFonts w:ascii="Calibri"/>
                        <w:sz w:val="10"/>
                      </w:rPr>
                    </w:pPr>
                    <w:r>
                      <w:rPr>
                        <w:rFonts w:ascii="Calibri"/>
                        <w:color w:val="FFFFFF"/>
                        <w:sz w:val="10"/>
                      </w:rPr>
                      <w:t>Demographics</w:t>
                    </w:r>
                  </w:p>
                </w:txbxContent>
              </v:textbox>
              <w10:wrap type="none"/>
            </v:shape>
            <v:shape style="position:absolute;left:2159;top:3102;width:431;height:135" type="#_x0000_t202" id="docshape151" filled="true" fillcolor="#fbfbfb" stroked="true" strokeweight=".338738pt" strokecolor="#d0d6e4">
              <v:textbox inset="0,0,0,0">
                <w:txbxContent>
                  <w:p>
                    <w:pPr>
                      <w:spacing w:line="196" w:lineRule="auto" w:before="0"/>
                      <w:ind w:left="71" w:right="-15" w:firstLine="0"/>
                      <w:jc w:val="left"/>
                      <w:rPr>
                        <w:rFonts w:ascii="Calibri" w:hAnsi="Calibri"/>
                        <w:color w:val="000000"/>
                        <w:sz w:val="10"/>
                      </w:rPr>
                    </w:pPr>
                    <w:r>
                      <w:rPr>
                        <w:rFonts w:ascii="Calibri" w:hAnsi="Calibri"/>
                        <w:color w:val="FFFFFF"/>
                        <w:w w:val="110"/>
                        <w:sz w:val="8"/>
                      </w:rPr>
                      <w:t>[Text]   </w:t>
                    </w:r>
                    <w:r>
                      <w:rPr>
                        <w:rFonts w:ascii="Calibri" w:hAnsi="Calibri"/>
                        <w:color w:val="FFFFFF"/>
                        <w:spacing w:val="9"/>
                        <w:w w:val="110"/>
                        <w:sz w:val="8"/>
                      </w:rPr>
                      <w:t> </w:t>
                    </w:r>
                    <w:r>
                      <w:rPr>
                        <w:rFonts w:ascii="Calibri" w:hAnsi="Calibri"/>
                        <w:color w:val="000000"/>
                        <w:w w:val="110"/>
                        <w:position w:val="5"/>
                        <w:sz w:val="10"/>
                      </w:rPr>
                      <w:t>•</w:t>
                    </w:r>
                  </w:p>
                </w:txbxContent>
              </v:textbox>
              <v:fill type="solid"/>
              <v:stroke dashstyle="solid"/>
              <w10:wrap type="none"/>
            </v:shape>
            <v:shape style="position:absolute;left:6752;top:2833;width:2155;height:135" type="#_x0000_t202" id="docshape152" filled="false" stroked="true" strokeweight=".338749pt" strokecolor="#d0d6e4">
              <v:textbox inset="0,0,0,0">
                <w:txbxContent>
                  <w:p>
                    <w:pPr>
                      <w:spacing w:before="6"/>
                      <w:ind w:left="444" w:right="0" w:firstLine="0"/>
                      <w:jc w:val="left"/>
                      <w:rPr>
                        <w:rFonts w:ascii="Calibri"/>
                        <w:b/>
                        <w:sz w:val="10"/>
                      </w:rPr>
                    </w:pPr>
                    <w:r>
                      <w:rPr>
                        <w:rFonts w:ascii="Calibri"/>
                        <w:b/>
                        <w:sz w:val="10"/>
                      </w:rPr>
                      <w:t>Transportation</w:t>
                    </w:r>
                  </w:p>
                </w:txbxContent>
              </v:textbox>
              <v:stroke dashstyle="solid"/>
              <w10:wrap type="none"/>
            </v:shape>
            <v:shape style="position:absolute;left:4745;top:2833;width:2007;height:135" type="#_x0000_t202" id="docshape153" filled="false" stroked="true" strokeweight=".338733pt" strokecolor="#d0d6e4">
              <v:textbox inset="0,0,0,0">
                <w:txbxContent>
                  <w:p>
                    <w:pPr>
                      <w:spacing w:line="95" w:lineRule="exact" w:before="0"/>
                      <w:ind w:left="381" w:right="0" w:firstLine="0"/>
                      <w:jc w:val="left"/>
                      <w:rPr>
                        <w:rFonts w:ascii="Calibri"/>
                        <w:sz w:val="10"/>
                      </w:rPr>
                    </w:pPr>
                    <w:r>
                      <w:rPr>
                        <w:rFonts w:ascii="Calibri"/>
                        <w:color w:val="FFFFFF"/>
                        <w:sz w:val="10"/>
                      </w:rPr>
                      <w:t>Conditions</w:t>
                    </w:r>
                  </w:p>
                </w:txbxContent>
              </v:textbox>
              <v:stroke dashstyle="solid"/>
              <w10:wrap type="none"/>
            </v:shape>
            <v:shape style="position:absolute;left:2590;top:2833;width:432;height:135" type="#_x0000_t202" id="docshape154" filled="true" fillcolor="#fbfbfb" stroked="true" strokeweight=".338738pt" strokecolor="#d0d6e4">
              <v:textbox inset="0,0,0,0">
                <w:txbxContent>
                  <w:p>
                    <w:pPr>
                      <w:spacing w:line="96" w:lineRule="exact" w:before="32"/>
                      <w:ind w:left="22" w:right="-29" w:firstLine="0"/>
                      <w:jc w:val="left"/>
                      <w:rPr>
                        <w:rFonts w:ascii="Calibri"/>
                        <w:b/>
                        <w:color w:val="000000"/>
                        <w:sz w:val="10"/>
                      </w:rPr>
                    </w:pPr>
                    <w:r>
                      <w:rPr>
                        <w:rFonts w:ascii="Calibri"/>
                        <w:b/>
                        <w:color w:val="000000"/>
                        <w:w w:val="110"/>
                        <w:sz w:val="10"/>
                      </w:rPr>
                      <w:t>Exposure</w:t>
                    </w:r>
                  </w:p>
                </w:txbxContent>
              </v:textbox>
              <v:fill type="solid"/>
              <v:stroke dashstyle="solid"/>
              <w10:wrap type="none"/>
            </v:shape>
            <v:shape style="position:absolute;left:2159;top:2833;width:431;height:135" type="#_x0000_t202" id="docshape155" filled="true" fillcolor="#fbfbfb" stroked="true" strokeweight=".338738pt" strokecolor="#d0d6e4">
              <v:textbox inset="0,0,0,0">
                <w:txbxContent>
                  <w:p>
                    <w:pPr>
                      <w:spacing w:line="98" w:lineRule="exact" w:before="30"/>
                      <w:ind w:left="71" w:right="-15" w:firstLine="0"/>
                      <w:jc w:val="left"/>
                      <w:rPr>
                        <w:rFonts w:ascii="Calibri" w:hAnsi="Calibri"/>
                        <w:color w:val="000000"/>
                        <w:sz w:val="10"/>
                      </w:rPr>
                    </w:pPr>
                    <w:r>
                      <w:rPr>
                        <w:rFonts w:ascii="Calibri" w:hAnsi="Calibri"/>
                        <w:color w:val="FFFFFF"/>
                        <w:w w:val="110"/>
                        <w:sz w:val="8"/>
                      </w:rPr>
                      <w:t>[Text]   </w:t>
                    </w:r>
                    <w:r>
                      <w:rPr>
                        <w:rFonts w:ascii="Calibri" w:hAnsi="Calibri"/>
                        <w:color w:val="FFFFFF"/>
                        <w:spacing w:val="10"/>
                        <w:w w:val="110"/>
                        <w:sz w:val="8"/>
                      </w:rPr>
                      <w:t> </w:t>
                    </w:r>
                    <w:r>
                      <w:rPr>
                        <w:rFonts w:ascii="Calibri" w:hAnsi="Calibri"/>
                        <w:color w:val="000000"/>
                        <w:w w:val="110"/>
                        <w:position w:val="2"/>
                        <w:sz w:val="10"/>
                      </w:rPr>
                      <w:t>•</w:t>
                    </w:r>
                  </w:p>
                </w:txbxContent>
              </v:textbox>
              <v:fill type="solid"/>
              <v:stroke dashstyle="solid"/>
              <w10:wrap type="none"/>
            </v:shape>
            <v:shape style="position:absolute;left:6337;top:2727;width:1307;height:101" type="#_x0000_t202" id="docshape156" filled="false" stroked="false">
              <v:textbox inset="0,0,0,0">
                <w:txbxContent>
                  <w:p>
                    <w:pPr>
                      <w:tabs>
                        <w:tab w:pos="862" w:val="left" w:leader="none"/>
                      </w:tabs>
                      <w:spacing w:line="101" w:lineRule="exact" w:before="0"/>
                      <w:ind w:left="0" w:right="0" w:firstLine="0"/>
                      <w:jc w:val="left"/>
                      <w:rPr>
                        <w:rFonts w:ascii="Calibri"/>
                        <w:b/>
                        <w:sz w:val="10"/>
                      </w:rPr>
                    </w:pPr>
                    <w:r>
                      <w:rPr>
                        <w:rFonts w:ascii="Calibri"/>
                        <w:b/>
                        <w:sz w:val="10"/>
                      </w:rPr>
                      <w:t>Infraestructure</w:t>
                      <w:tab/>
                      <w:t>Sanitation</w:t>
                    </w:r>
                  </w:p>
                </w:txbxContent>
              </v:textbox>
              <w10:wrap type="none"/>
            </v:shape>
            <v:shape style="position:absolute;left:5231;top:2707;width:253;height:101" type="#_x0000_t202" id="docshape157" filled="false" stroked="false">
              <v:textbox inset="0,0,0,0">
                <w:txbxContent>
                  <w:p>
                    <w:pPr>
                      <w:spacing w:line="101" w:lineRule="exact" w:before="0"/>
                      <w:ind w:left="0" w:right="0" w:firstLine="0"/>
                      <w:jc w:val="left"/>
                      <w:rPr>
                        <w:rFonts w:ascii="Calibri"/>
                        <w:sz w:val="10"/>
                      </w:rPr>
                    </w:pPr>
                    <w:r>
                      <w:rPr>
                        <w:rFonts w:ascii="Calibri"/>
                        <w:color w:val="FFFFFF"/>
                        <w:sz w:val="10"/>
                      </w:rPr>
                      <w:t>Social</w:t>
                    </w:r>
                  </w:p>
                </w:txbxContent>
              </v:textbox>
              <w10:wrap type="none"/>
            </v:shape>
            <v:shape style="position:absolute;left:4745;top:2563;width:2007;height:135" type="#_x0000_t202" id="docshape158" filled="false" stroked="true" strokeweight=".338733pt" strokecolor="#d0d6e4">
              <v:textbox inset="0,0,0,0">
                <w:txbxContent>
                  <w:p>
                    <w:pPr>
                      <w:spacing w:line="121" w:lineRule="exact" w:before="0"/>
                      <w:ind w:left="361" w:right="0" w:firstLine="0"/>
                      <w:jc w:val="left"/>
                      <w:rPr>
                        <w:rFonts w:ascii="Calibri"/>
                        <w:sz w:val="10"/>
                      </w:rPr>
                    </w:pPr>
                    <w:r>
                      <w:rPr>
                        <w:rFonts w:ascii="Calibri"/>
                        <w:color w:val="FFFFFF"/>
                        <w:sz w:val="10"/>
                      </w:rPr>
                      <w:t>Geographic</w:t>
                    </w:r>
                  </w:p>
                </w:txbxContent>
              </v:textbox>
              <v:stroke dashstyle="solid"/>
              <w10:wrap type="none"/>
            </v:shape>
            <v:shape style="position:absolute;left:4745;top:2429;width:4162;height:135" type="#_x0000_t202" id="docshape159" filled="false" stroked="true" strokeweight=".338749pt" strokecolor="#d0d6e4">
              <v:textbox inset="0,0,0,0">
                <w:txbxContent>
                  <w:p>
                    <w:pPr>
                      <w:spacing w:before="5"/>
                      <w:ind w:left="1571" w:right="2006" w:firstLine="0"/>
                      <w:jc w:val="center"/>
                      <w:rPr>
                        <w:rFonts w:ascii="Calibri"/>
                        <w:b/>
                        <w:sz w:val="10"/>
                      </w:rPr>
                    </w:pPr>
                    <w:r>
                      <w:rPr>
                        <w:rFonts w:ascii="Calibri"/>
                        <w:b/>
                        <w:sz w:val="10"/>
                      </w:rPr>
                      <w:t>Environment</w:t>
                    </w:r>
                  </w:p>
                </w:txbxContent>
              </v:textbox>
              <v:stroke dashstyle="solid"/>
              <w10:wrap type="none"/>
            </v:shape>
            <v:shape style="position:absolute;left:4745;top:2025;width:4162;height:135" type="#_x0000_t202" id="docshape160" filled="false" stroked="true" strokeweight=".338749pt" strokecolor="#d0d6e4">
              <v:textbox inset="0,0,0,0">
                <w:txbxContent>
                  <w:p>
                    <w:pPr>
                      <w:spacing w:line="90" w:lineRule="exact" w:before="0"/>
                      <w:ind w:left="2608" w:right="0" w:firstLine="0"/>
                      <w:jc w:val="left"/>
                      <w:rPr>
                        <w:rFonts w:ascii="Calibri"/>
                        <w:sz w:val="14"/>
                      </w:rPr>
                    </w:pPr>
                    <w:r>
                      <w:rPr>
                        <w:rFonts w:ascii="Calibri"/>
                        <w:color w:val="FFFFFF"/>
                        <w:sz w:val="14"/>
                      </w:rPr>
                      <w:t>Fatalities</w:t>
                    </w:r>
                  </w:p>
                </w:txbxContent>
              </v:textbox>
              <v:stroke dashstyle="solid"/>
              <w10:wrap type="none"/>
            </v:shape>
            <v:shape style="position:absolute;left:3883;top:2025;width:432;height:135" type="#_x0000_t202" id="docshape161" filled="true" fillcolor="#fbfbfb" stroked="true" strokeweight=".338741pt" strokecolor="#d0d6e4">
              <v:textbox inset="0,0,0,0">
                <w:txbxContent>
                  <w:p>
                    <w:pPr>
                      <w:spacing w:line="128" w:lineRule="exact" w:before="0"/>
                      <w:ind w:left="-35" w:right="0" w:firstLine="0"/>
                      <w:jc w:val="left"/>
                      <w:rPr>
                        <w:rFonts w:ascii="Calibri"/>
                        <w:b/>
                        <w:color w:val="000000"/>
                        <w:sz w:val="21"/>
                      </w:rPr>
                    </w:pPr>
                    <w:r>
                      <w:rPr>
                        <w:rFonts w:ascii="Calibri"/>
                        <w:b/>
                        <w:color w:val="000000"/>
                        <w:w w:val="102"/>
                        <w:sz w:val="21"/>
                      </w:rPr>
                      <w:t>s</w:t>
                    </w:r>
                  </w:p>
                </w:txbxContent>
              </v:textbox>
              <v:fill type="solid"/>
              <v:stroke dashstyle="solid"/>
              <w10:wrap type="none"/>
            </v:shape>
            <v:shape style="position:absolute;left:3452;top:2025;width:431;height:135" type="#_x0000_t202" id="docshape162" filled="true" fillcolor="#fbfbfb" stroked="true" strokeweight=".33874pt" strokecolor="#d0d6e4">
              <v:textbox inset="0,0,0,0">
                <w:txbxContent>
                  <w:p>
                    <w:pPr>
                      <w:spacing w:line="128" w:lineRule="exact" w:before="0"/>
                      <w:ind w:left="13" w:right="0" w:firstLine="0"/>
                      <w:jc w:val="left"/>
                      <w:rPr>
                        <w:rFonts w:ascii="Calibri"/>
                        <w:b/>
                        <w:color w:val="000000"/>
                        <w:sz w:val="21"/>
                      </w:rPr>
                    </w:pPr>
                    <w:r>
                      <w:rPr>
                        <w:rFonts w:ascii="Calibri"/>
                        <w:b/>
                        <w:color w:val="000000"/>
                        <w:w w:val="105"/>
                        <w:sz w:val="21"/>
                      </w:rPr>
                      <w:t>zard</w:t>
                    </w:r>
                  </w:p>
                </w:txbxContent>
              </v:textbox>
              <v:fill type="solid"/>
              <v:stroke dashstyle="solid"/>
              <w10:wrap type="none"/>
            </v:shape>
            <v:shape style="position:absolute;left:3021;top:2025;width:431;height:135" type="#_x0000_t202" id="docshape163" filled="true" fillcolor="#fbfbfb" stroked="true" strokeweight=".338739pt" strokecolor="#d0d6e4">
              <v:textbox inset="0,0,0,0">
                <w:txbxContent>
                  <w:p>
                    <w:pPr>
                      <w:spacing w:line="128" w:lineRule="exact" w:before="0"/>
                      <w:ind w:left="202" w:right="-29" w:firstLine="0"/>
                      <w:jc w:val="left"/>
                      <w:rPr>
                        <w:rFonts w:ascii="Calibri"/>
                        <w:b/>
                        <w:color w:val="000000"/>
                        <w:sz w:val="21"/>
                      </w:rPr>
                    </w:pPr>
                    <w:r>
                      <w:rPr>
                        <w:rFonts w:ascii="Calibri"/>
                        <w:b/>
                        <w:color w:val="000000"/>
                        <w:w w:val="105"/>
                        <w:sz w:val="21"/>
                      </w:rPr>
                      <w:t>Ha</w:t>
                    </w:r>
                  </w:p>
                </w:txbxContent>
              </v:textbox>
              <v:fill type="solid"/>
              <v:stroke dashstyle="solid"/>
              <w10:wrap type="none"/>
            </v:shape>
            <v:shape style="position:absolute;left:2159;top:2025;width:431;height:135" type="#_x0000_t202" id="docshape164" filled="true" fillcolor="#fbfbfb" stroked="true" strokeweight=".338738pt" strokecolor="#d0d6e4">
              <v:textbox inset="0,0,0,0">
                <w:txbxContent>
                  <w:p>
                    <w:pPr>
                      <w:spacing w:line="128" w:lineRule="exact" w:before="0"/>
                      <w:ind w:left="77" w:right="-15" w:firstLine="0"/>
                      <w:jc w:val="left"/>
                      <w:rPr>
                        <w:rFonts w:ascii="Calibri"/>
                        <w:b/>
                        <w:color w:val="000000"/>
                        <w:sz w:val="21"/>
                      </w:rPr>
                    </w:pPr>
                    <w:r>
                      <w:rPr>
                        <w:rFonts w:ascii="Calibri"/>
                        <w:b/>
                        <w:color w:val="000000"/>
                        <w:sz w:val="21"/>
                      </w:rPr>
                      <w:t>acts</w:t>
                    </w:r>
                  </w:p>
                </w:txbxContent>
              </v:textbox>
              <v:fill type="solid"/>
              <v:stroke dashstyle="solid"/>
              <w10:wrap type="none"/>
            </v:shape>
            <v:shape style="position:absolute;left:1728;top:2025;width:431;height:135" type="#_x0000_t202" id="docshape165" filled="true" fillcolor="#fbfbfb" stroked="true" strokeweight=".338729pt" strokecolor="#d0d6e4">
              <v:textbox inset="0,0,0,0">
                <w:txbxContent>
                  <w:p>
                    <w:pPr>
                      <w:spacing w:line="128" w:lineRule="exact" w:before="0"/>
                      <w:ind w:left="158" w:right="-87" w:firstLine="0"/>
                      <w:jc w:val="left"/>
                      <w:rPr>
                        <w:rFonts w:ascii="Calibri"/>
                        <w:b/>
                        <w:color w:val="000000"/>
                        <w:sz w:val="21"/>
                      </w:rPr>
                    </w:pPr>
                    <w:r>
                      <w:rPr>
                        <w:rFonts w:ascii="Calibri"/>
                        <w:b/>
                        <w:color w:val="000000"/>
                        <w:sz w:val="21"/>
                      </w:rPr>
                      <w:t>Imp</w:t>
                    </w:r>
                  </w:p>
                </w:txbxContent>
              </v:textbox>
              <v:fill type="solid"/>
              <v:stroke dashstyle="solid"/>
              <w10:wrap type="none"/>
            </v:shape>
            <v:shape style="position:absolute;left:435;top:2025;width:1294;height:135" type="#_x0000_t202" id="docshape166" filled="false" stroked="true" strokeweight=".338736pt" strokecolor="#d0d6e4">
              <v:textbox inset="0,0,0,0">
                <w:txbxContent>
                  <w:p>
                    <w:pPr>
                      <w:spacing w:line="116" w:lineRule="exact" w:before="0"/>
                      <w:ind w:left="37" w:right="0" w:firstLine="0"/>
                      <w:jc w:val="left"/>
                      <w:rPr>
                        <w:rFonts w:ascii="Calibri"/>
                        <w:sz w:val="14"/>
                      </w:rPr>
                    </w:pPr>
                    <w:r>
                      <w:rPr>
                        <w:rFonts w:ascii="Calibri"/>
                        <w:color w:val="FFFFFF"/>
                        <w:sz w:val="14"/>
                      </w:rPr>
                      <w:t>Force</w:t>
                    </w:r>
                    <w:r>
                      <w:rPr>
                        <w:rFonts w:ascii="Calibri"/>
                        <w:color w:val="FFFFFF"/>
                        <w:spacing w:val="-1"/>
                        <w:sz w:val="14"/>
                      </w:rPr>
                      <w:t> </w:t>
                    </w:r>
                    <w:r>
                      <w:rPr>
                        <w:rFonts w:ascii="Calibri"/>
                        <w:color w:val="FFFFFF"/>
                        <w:sz w:val="14"/>
                      </w:rPr>
                      <w:t>migration</w:t>
                    </w:r>
                  </w:p>
                </w:txbxContent>
              </v:textbox>
              <v:stroke dashstyle="solid"/>
              <w10:wrap type="none"/>
            </v:shape>
            <v:shape style="position:absolute;left:4745;top:1755;width:4162;height:135" type="#_x0000_t202" id="docshape167" filled="false" stroked="true" strokeweight=".338749pt" strokecolor="#d0d6e4">
              <v:textbox inset="0,0,0,0">
                <w:txbxContent>
                  <w:p>
                    <w:pPr>
                      <w:spacing w:line="115" w:lineRule="exact" w:before="13"/>
                      <w:ind w:left="2655" w:right="0" w:firstLine="0"/>
                      <w:jc w:val="left"/>
                      <w:rPr>
                        <w:rFonts w:ascii="Calibri"/>
                        <w:sz w:val="14"/>
                      </w:rPr>
                    </w:pPr>
                    <w:r>
                      <w:rPr>
                        <w:rFonts w:ascii="Calibri"/>
                        <w:color w:val="FFFFFF"/>
                        <w:sz w:val="14"/>
                      </w:rPr>
                      <w:t>Injuries</w:t>
                    </w:r>
                  </w:p>
                </w:txbxContent>
              </v:textbox>
              <v:stroke dashstyle="solid"/>
              <w10:wrap type="none"/>
            </v:shape>
            <v:shape style="position:absolute;left:4745;top:1621;width:4162;height:135" type="#_x0000_t202" id="docshape168" filled="false" stroked="true" strokeweight=".338749pt" strokecolor="#d0d6e4">
              <v:textbox inset="0,0,0,0">
                <w:txbxContent>
                  <w:p>
                    <w:pPr>
                      <w:spacing w:line="128" w:lineRule="exact" w:before="0"/>
                      <w:ind w:left="2392" w:right="0" w:firstLine="0"/>
                      <w:jc w:val="left"/>
                      <w:rPr>
                        <w:rFonts w:ascii="Calibri"/>
                        <w:sz w:val="14"/>
                      </w:rPr>
                    </w:pPr>
                    <w:r>
                      <w:rPr>
                        <w:rFonts w:ascii="Calibri"/>
                        <w:color w:val="FFFFFF"/>
                        <w:sz w:val="14"/>
                      </w:rPr>
                      <w:t>Malaria,</w:t>
                    </w:r>
                    <w:r>
                      <w:rPr>
                        <w:rFonts w:ascii="Calibri"/>
                        <w:color w:val="FFFFFF"/>
                        <w:spacing w:val="-2"/>
                        <w:sz w:val="14"/>
                      </w:rPr>
                      <w:t> </w:t>
                    </w:r>
                    <w:r>
                      <w:rPr>
                        <w:rFonts w:ascii="Calibri"/>
                        <w:color w:val="FFFFFF"/>
                        <w:sz w:val="14"/>
                      </w:rPr>
                      <w:t>Dengue</w:t>
                    </w:r>
                  </w:p>
                </w:txbxContent>
              </v:textbox>
              <v:stroke dashstyle="solid"/>
              <w10:wrap type="none"/>
            </v:shape>
            <v:shape style="position:absolute;left:435;top:1621;width:1294;height:135" type="#_x0000_t202" id="docshape169" filled="false" stroked="true" strokeweight=".338736pt" strokecolor="#d0d6e4">
              <v:textbox inset="0,0,0,0">
                <w:txbxContent>
                  <w:p>
                    <w:pPr>
                      <w:spacing w:line="128" w:lineRule="exact" w:before="0"/>
                      <w:ind w:left="233" w:right="0" w:firstLine="0"/>
                      <w:jc w:val="left"/>
                      <w:rPr>
                        <w:rFonts w:ascii="Calibri"/>
                        <w:sz w:val="14"/>
                      </w:rPr>
                    </w:pPr>
                    <w:r>
                      <w:rPr>
                        <w:rFonts w:ascii="Calibri"/>
                        <w:color w:val="FFFFFF"/>
                        <w:sz w:val="14"/>
                      </w:rPr>
                      <w:t>Droughts</w:t>
                    </w:r>
                  </w:p>
                </w:txbxContent>
              </v:textbox>
              <v:stroke dashstyle="solid"/>
              <w10:wrap type="none"/>
            </v:shape>
            <v:shape style="position:absolute;left:4745;top:1486;width:4162;height:135" type="#_x0000_t202" id="docshape170" filled="false" stroked="true" strokeweight=".338749pt" strokecolor="#d0d6e4">
              <v:textbox inset="0,0,0,0">
                <w:txbxContent>
                  <w:p>
                    <w:pPr>
                      <w:spacing w:line="103" w:lineRule="exact" w:before="0"/>
                      <w:ind w:left="2648" w:right="0" w:firstLine="0"/>
                      <w:jc w:val="left"/>
                      <w:rPr>
                        <w:rFonts w:ascii="Calibri"/>
                        <w:sz w:val="14"/>
                      </w:rPr>
                    </w:pPr>
                    <w:r>
                      <w:rPr>
                        <w:rFonts w:ascii="Calibri"/>
                        <w:color w:val="FFFFFF"/>
                        <w:sz w:val="14"/>
                      </w:rPr>
                      <w:t>Asthma</w:t>
                    </w:r>
                  </w:p>
                </w:txbxContent>
              </v:textbox>
              <v:stroke dashstyle="solid"/>
              <w10:wrap type="none"/>
            </v:shape>
            <v:shape style="position:absolute;left:435;top:1486;width:1294;height:135" type="#_x0000_t202" id="docshape171" filled="false" stroked="true" strokeweight=".338736pt" strokecolor="#d0d6e4">
              <v:textbox inset="0,0,0,0">
                <w:txbxContent>
                  <w:p>
                    <w:pPr>
                      <w:spacing w:line="123" w:lineRule="exact" w:before="0"/>
                      <w:ind w:left="307" w:right="0" w:firstLine="0"/>
                      <w:jc w:val="left"/>
                      <w:rPr>
                        <w:rFonts w:ascii="Calibri"/>
                        <w:sz w:val="14"/>
                      </w:rPr>
                    </w:pPr>
                    <w:r>
                      <w:rPr>
                        <w:rFonts w:ascii="Calibri"/>
                        <w:color w:val="FFFFFF"/>
                        <w:sz w:val="14"/>
                      </w:rPr>
                      <w:t>events</w:t>
                    </w:r>
                  </w:p>
                </w:txbxContent>
              </v:textbox>
              <v:stroke dashstyle="solid"/>
              <w10:wrap type="none"/>
            </v:shape>
            <v:shape style="position:absolute;left:435;top:1351;width:1294;height:135" type="#_x0000_t202" id="docshape172" filled="false" stroked="true" strokeweight=".338736pt" strokecolor="#d0d6e4">
              <v:textbox inset="0,0,0,0">
                <w:txbxContent>
                  <w:p>
                    <w:pPr>
                      <w:spacing w:line="83" w:lineRule="exact" w:before="0"/>
                      <w:ind w:left="44" w:right="0" w:firstLine="0"/>
                      <w:jc w:val="left"/>
                      <w:rPr>
                        <w:rFonts w:ascii="Calibri"/>
                        <w:sz w:val="14"/>
                      </w:rPr>
                    </w:pPr>
                    <w:r>
                      <w:rPr>
                        <w:rFonts w:ascii="Calibri"/>
                        <w:color w:val="FFFFFF"/>
                        <w:sz w:val="14"/>
                      </w:rPr>
                      <w:t>Severe</w:t>
                    </w:r>
                    <w:r>
                      <w:rPr>
                        <w:rFonts w:ascii="Calibri"/>
                        <w:color w:val="FFFFFF"/>
                        <w:spacing w:val="3"/>
                        <w:sz w:val="14"/>
                      </w:rPr>
                      <w:t> </w:t>
                    </w:r>
                    <w:r>
                      <w:rPr>
                        <w:rFonts w:ascii="Calibri"/>
                        <w:color w:val="FFFFFF"/>
                        <w:sz w:val="14"/>
                      </w:rPr>
                      <w:t>weather</w:t>
                    </w:r>
                  </w:p>
                </w:txbxContent>
              </v:textbox>
              <v:stroke dashstyle="solid"/>
              <w10:wrap type="none"/>
            </v:shape>
            <v:shape style="position:absolute;left:4745;top:1082;width:4162;height:135" type="#_x0000_t202" id="docshape173" filled="false" stroked="true" strokeweight=".338749pt" strokecolor="#d0d6e4">
              <v:textbox inset="0,0,0,0">
                <w:txbxContent>
                  <w:p>
                    <w:pPr>
                      <w:spacing w:line="128" w:lineRule="exact" w:before="0"/>
                      <w:ind w:left="2500" w:right="0" w:firstLine="0"/>
                      <w:jc w:val="left"/>
                      <w:rPr>
                        <w:rFonts w:ascii="Calibri"/>
                        <w:sz w:val="14"/>
                      </w:rPr>
                    </w:pPr>
                    <w:r>
                      <w:rPr>
                        <w:rFonts w:ascii="Calibri"/>
                        <w:color w:val="FFFFFF"/>
                        <w:sz w:val="14"/>
                      </w:rPr>
                      <w:t>Malnutrition</w:t>
                    </w:r>
                  </w:p>
                </w:txbxContent>
              </v:textbox>
              <v:stroke dashstyle="solid"/>
              <w10:wrap type="none"/>
            </v:shape>
            <v:shape style="position:absolute;left:435;top:1082;width:1294;height:135" type="#_x0000_t202" id="docshape174" filled="false" stroked="true" strokeweight=".338736pt" strokecolor="#d0d6e4">
              <v:textbox inset="0,0,0,0">
                <w:txbxContent>
                  <w:p>
                    <w:pPr>
                      <w:spacing w:line="122" w:lineRule="exact" w:before="6"/>
                      <w:ind w:left="307" w:right="0" w:firstLine="0"/>
                      <w:jc w:val="left"/>
                      <w:rPr>
                        <w:rFonts w:ascii="Calibri"/>
                        <w:sz w:val="14"/>
                      </w:rPr>
                    </w:pPr>
                    <w:r>
                      <w:rPr>
                        <w:rFonts w:ascii="Calibri"/>
                        <w:color w:val="FFFFFF"/>
                        <w:sz w:val="14"/>
                      </w:rPr>
                      <w:t>Floods</w:t>
                    </w:r>
                  </w:p>
                </w:txbxContent>
              </v:textbox>
              <v:stroke dashstyle="solid"/>
              <w10:wrap type="none"/>
            </v:shape>
            <v:shape style="position:absolute;left:4745;top:947;width:4162;height:135" type="#_x0000_t202" id="docshape175" filled="false" stroked="true" strokeweight=".338749pt" strokecolor="#d0d6e4">
              <v:textbox inset="0,0,0,0">
                <w:txbxContent>
                  <w:p>
                    <w:pPr>
                      <w:spacing w:line="110" w:lineRule="exact" w:before="0"/>
                      <w:ind w:left="2204" w:right="0" w:firstLine="0"/>
                      <w:jc w:val="left"/>
                      <w:rPr>
                        <w:rFonts w:ascii="Calibri"/>
                        <w:sz w:val="14"/>
                      </w:rPr>
                    </w:pPr>
                    <w:r>
                      <w:rPr>
                        <w:rFonts w:ascii="Calibri"/>
                        <w:color w:val="FFFFFF"/>
                        <w:sz w:val="14"/>
                      </w:rPr>
                      <w:t>Mental Health</w:t>
                    </w:r>
                    <w:r>
                      <w:rPr>
                        <w:rFonts w:ascii="Calibri"/>
                        <w:color w:val="FFFFFF"/>
                        <w:spacing w:val="8"/>
                        <w:sz w:val="14"/>
                      </w:rPr>
                      <w:t> </w:t>
                    </w:r>
                    <w:r>
                      <w:rPr>
                        <w:rFonts w:ascii="Calibri"/>
                        <w:color w:val="FFFFFF"/>
                        <w:sz w:val="14"/>
                      </w:rPr>
                      <w:t>Disease</w:t>
                    </w:r>
                  </w:p>
                </w:txbxContent>
              </v:textbox>
              <v:stroke dashstyle="solid"/>
              <w10:wrap type="none"/>
            </v:shape>
            <v:shape style="position:absolute;left:435;top:947;width:1294;height:135" type="#_x0000_t202" id="docshape176" filled="false" stroked="true" strokeweight=".338736pt" strokecolor="#d0d6e4">
              <v:textbox inset="0,0,0,0">
                <w:txbxContent>
                  <w:p>
                    <w:pPr>
                      <w:spacing w:line="128" w:lineRule="exact" w:before="0"/>
                      <w:ind w:left="159" w:right="0" w:firstLine="0"/>
                      <w:jc w:val="left"/>
                      <w:rPr>
                        <w:rFonts w:ascii="Calibri"/>
                        <w:sz w:val="14"/>
                      </w:rPr>
                    </w:pPr>
                    <w:r>
                      <w:rPr>
                        <w:rFonts w:ascii="Calibri"/>
                        <w:color w:val="FFFFFF"/>
                        <w:sz w:val="14"/>
                      </w:rPr>
                      <w:t>Heat-waves</w:t>
                    </w:r>
                  </w:p>
                </w:txbxContent>
              </v:textbox>
              <v:stroke dashstyle="solid"/>
              <w10:wrap type="none"/>
            </v:shape>
            <v:shape style="position:absolute;left:3452;top:678;width:431;height:135" type="#_x0000_t202" id="docshape177" filled="true" fillcolor="#fbfbfb" stroked="true" strokeweight=".33874pt" strokecolor="#d0d6e4">
              <v:textbox inset="0,0,0,0">
                <w:txbxContent>
                  <w:p>
                    <w:pPr>
                      <w:spacing w:line="128" w:lineRule="exact" w:before="0"/>
                      <w:ind w:left="27" w:right="-44" w:firstLine="0"/>
                      <w:jc w:val="left"/>
                      <w:rPr>
                        <w:rFonts w:ascii="Calibri"/>
                        <w:b/>
                        <w:color w:val="000000"/>
                        <w:sz w:val="21"/>
                      </w:rPr>
                    </w:pPr>
                    <w:r>
                      <w:rPr>
                        <w:rFonts w:ascii="Calibri"/>
                        <w:b/>
                        <w:color w:val="000000"/>
                        <w:sz w:val="21"/>
                      </w:rPr>
                      <w:t>ange</w:t>
                    </w:r>
                  </w:p>
                </w:txbxContent>
              </v:textbox>
              <v:fill type="solid"/>
              <v:stroke dashstyle="solid"/>
              <w10:wrap type="none"/>
            </v:shape>
            <v:shape style="position:absolute;left:3021;top:678;width:431;height:135" type="#_x0000_t202" id="docshape178" filled="true" fillcolor="#fbfbfb" stroked="true" strokeweight=".338739pt" strokecolor="#d0d6e4">
              <v:textbox inset="0,0,0,0">
                <w:txbxContent>
                  <w:p>
                    <w:pPr>
                      <w:spacing w:line="128" w:lineRule="exact" w:before="0"/>
                      <w:ind w:left="229" w:right="-44" w:firstLine="0"/>
                      <w:jc w:val="left"/>
                      <w:rPr>
                        <w:rFonts w:ascii="Calibri"/>
                        <w:b/>
                        <w:color w:val="000000"/>
                        <w:sz w:val="21"/>
                      </w:rPr>
                    </w:pPr>
                    <w:r>
                      <w:rPr>
                        <w:rFonts w:ascii="Calibri"/>
                        <w:b/>
                        <w:color w:val="000000"/>
                        <w:w w:val="105"/>
                        <w:sz w:val="21"/>
                      </w:rPr>
                      <w:t>Ch</w:t>
                    </w:r>
                  </w:p>
                </w:txbxContent>
              </v:textbox>
              <v:fill type="solid"/>
              <v:stroke dashstyle="solid"/>
              <w10:wrap type="none"/>
            </v:shape>
            <v:shape style="position:absolute;left:2159;top:678;width:431;height:135" type="#_x0000_t202" id="docshape179" filled="true" fillcolor="#fbfbfb" stroked="true" strokeweight=".338738pt" strokecolor="#d0d6e4">
              <v:textbox inset="0,0,0,0">
                <w:txbxContent>
                  <w:p>
                    <w:pPr>
                      <w:spacing w:line="128" w:lineRule="exact" w:before="0"/>
                      <w:ind w:left="224" w:right="-29" w:firstLine="0"/>
                      <w:jc w:val="left"/>
                      <w:rPr>
                        <w:rFonts w:ascii="Calibri"/>
                        <w:b/>
                        <w:color w:val="000000"/>
                        <w:sz w:val="21"/>
                      </w:rPr>
                    </w:pPr>
                    <w:r>
                      <w:rPr>
                        <w:rFonts w:ascii="Calibri"/>
                        <w:b/>
                        <w:color w:val="000000"/>
                        <w:w w:val="105"/>
                        <w:sz w:val="21"/>
                      </w:rPr>
                      <w:t>tic</w:t>
                    </w:r>
                  </w:p>
                </w:txbxContent>
              </v:textbox>
              <v:fill type="solid"/>
              <v:stroke dashstyle="solid"/>
              <w10:wrap type="none"/>
            </v:shape>
            <v:shape style="position:absolute;left:1728;top:678;width:431;height:135" type="#_x0000_t202" id="docshape180" filled="true" fillcolor="#fbfbfb" stroked="true" strokeweight=".338729pt" strokecolor="#d0d6e4">
              <v:textbox inset="0,0,0,0">
                <w:txbxContent>
                  <w:p>
                    <w:pPr>
                      <w:spacing w:line="128" w:lineRule="exact" w:before="0"/>
                      <w:ind w:left="152" w:right="-245" w:firstLine="0"/>
                      <w:jc w:val="left"/>
                      <w:rPr>
                        <w:rFonts w:ascii="Calibri"/>
                        <w:b/>
                        <w:color w:val="000000"/>
                        <w:sz w:val="21"/>
                      </w:rPr>
                    </w:pPr>
                    <w:r>
                      <w:rPr>
                        <w:rFonts w:ascii="Calibri"/>
                        <w:b/>
                        <w:color w:val="000000"/>
                        <w:w w:val="105"/>
                        <w:sz w:val="21"/>
                      </w:rPr>
                      <w:t>Clima</w:t>
                    </w:r>
                  </w:p>
                </w:txbxContent>
              </v:textbox>
              <v:fill type="solid"/>
              <v:stroke dashstyle="solid"/>
              <w10:wrap type="none"/>
            </v:shape>
            <v:shape style="position:absolute;left:4745;top:543;width:4162;height:135" type="#_x0000_t202" id="docshape181" filled="false" stroked="true" strokeweight=".338749pt" strokecolor="#d0d6e4">
              <v:textbox inset="0,0,0,0">
                <w:txbxContent>
                  <w:p>
                    <w:pPr>
                      <w:spacing w:line="128" w:lineRule="exact" w:before="0"/>
                      <w:ind w:left="2211" w:right="0" w:firstLine="0"/>
                      <w:jc w:val="left"/>
                      <w:rPr>
                        <w:rFonts w:ascii="Calibri"/>
                        <w:sz w:val="14"/>
                      </w:rPr>
                    </w:pPr>
                    <w:r>
                      <w:rPr>
                        <w:rFonts w:ascii="Calibri"/>
                        <w:color w:val="FFFFFF"/>
                        <w:sz w:val="14"/>
                      </w:rPr>
                      <w:t>Cardiovascular</w:t>
                    </w:r>
                    <w:r>
                      <w:rPr>
                        <w:rFonts w:ascii="Calibri"/>
                        <w:color w:val="FFFFFF"/>
                        <w:spacing w:val="4"/>
                        <w:sz w:val="14"/>
                      </w:rPr>
                      <w:t> </w:t>
                    </w:r>
                    <w:r>
                      <w:rPr>
                        <w:rFonts w:ascii="Calibri"/>
                        <w:color w:val="FFFFFF"/>
                        <w:sz w:val="14"/>
                      </w:rPr>
                      <w:t>Disease</w:t>
                    </w:r>
                  </w:p>
                </w:txbxContent>
              </v:textbox>
              <v:stroke dashstyle="solid"/>
              <w10:wrap type="none"/>
            </v:shape>
            <v:shape style="position:absolute;left:4745;top:408;width:4162;height:135" type="#_x0000_t202" id="docshape182" filled="false" stroked="true" strokeweight=".338749pt" strokecolor="#d0d6e4">
              <v:textbox inset="0,0,0,0">
                <w:txbxContent>
                  <w:p>
                    <w:pPr>
                      <w:spacing w:line="122" w:lineRule="exact" w:before="0"/>
                      <w:ind w:left="2339" w:right="0" w:firstLine="0"/>
                      <w:jc w:val="left"/>
                      <w:rPr>
                        <w:rFonts w:ascii="Calibri"/>
                        <w:sz w:val="21"/>
                      </w:rPr>
                    </w:pPr>
                    <w:r>
                      <w:rPr>
                        <w:rFonts w:ascii="Calibri"/>
                        <w:color w:val="FFFFFF"/>
                        <w:sz w:val="21"/>
                      </w:rPr>
                      <w:t>Health</w:t>
                    </w:r>
                    <w:r>
                      <w:rPr>
                        <w:rFonts w:ascii="Calibri"/>
                        <w:color w:val="FFFFFF"/>
                        <w:spacing w:val="1"/>
                        <w:sz w:val="21"/>
                      </w:rPr>
                      <w:t> </w:t>
                    </w:r>
                    <w:r>
                      <w:rPr>
                        <w:rFonts w:ascii="Calibri"/>
                        <w:color w:val="FFFFFF"/>
                        <w:sz w:val="21"/>
                      </w:rPr>
                      <w:t>Risks</w:t>
                    </w:r>
                  </w:p>
                </w:txbxContent>
              </v:textbox>
              <v:stroke dashstyle="solid"/>
              <w10:wrap type="none"/>
            </v:shape>
          </v:group>
        </w:pict>
      </w:r>
      <w:r>
        <w:rPr>
          <w:sz w:val="20"/>
        </w:rPr>
      </w:r>
    </w:p>
    <w:p>
      <w:pPr>
        <w:pStyle w:val="BodyText"/>
        <w:ind w:left="0"/>
        <w:rPr>
          <w:sz w:val="20"/>
        </w:rPr>
      </w:pPr>
    </w:p>
    <w:p>
      <w:pPr>
        <w:pStyle w:val="BodyText"/>
        <w:ind w:left="0"/>
        <w:rPr>
          <w:sz w:val="20"/>
        </w:rPr>
      </w:pPr>
    </w:p>
    <w:p>
      <w:pPr>
        <w:pStyle w:val="BodyText"/>
        <w:spacing w:before="3"/>
        <w:ind w:left="0"/>
        <w:rPr>
          <w:sz w:val="16"/>
        </w:rPr>
      </w:pPr>
    </w:p>
    <w:p>
      <w:pPr>
        <w:spacing w:line="242" w:lineRule="auto" w:before="0"/>
        <w:ind w:left="220" w:right="0" w:firstLine="0"/>
        <w:jc w:val="left"/>
        <w:rPr>
          <w:rFonts w:ascii="Calibri"/>
          <w:sz w:val="20"/>
        </w:rPr>
      </w:pPr>
      <w:r>
        <w:rPr>
          <w:rFonts w:ascii="Calibri"/>
          <w:b/>
          <w:color w:val="000000"/>
          <w:sz w:val="20"/>
          <w:shd w:fill="FBFBFB" w:color="auto" w:val="clear"/>
        </w:rPr>
        <w:t>Figure</w:t>
      </w:r>
      <w:r>
        <w:rPr>
          <w:rFonts w:ascii="Calibri"/>
          <w:b/>
          <w:color w:val="000000"/>
          <w:spacing w:val="-3"/>
          <w:sz w:val="20"/>
          <w:shd w:fill="FBFBFB" w:color="auto" w:val="clear"/>
        </w:rPr>
        <w:t> </w:t>
      </w:r>
      <w:r>
        <w:rPr>
          <w:rFonts w:ascii="Calibri"/>
          <w:b/>
          <w:color w:val="000000"/>
          <w:sz w:val="20"/>
          <w:shd w:fill="FBFBFB" w:color="auto" w:val="clear"/>
        </w:rPr>
        <w:t>1.1</w:t>
      </w:r>
      <w:r>
        <w:rPr>
          <w:rFonts w:ascii="Calibri"/>
          <w:b/>
          <w:color w:val="000000"/>
          <w:spacing w:val="-3"/>
          <w:sz w:val="20"/>
          <w:shd w:fill="FBFBFB" w:color="auto" w:val="clear"/>
        </w:rPr>
        <w:t> </w:t>
      </w:r>
      <w:r>
        <w:rPr>
          <w:rFonts w:ascii="Calibri"/>
          <w:color w:val="000000"/>
          <w:sz w:val="20"/>
          <w:shd w:fill="FBFBFB" w:color="auto" w:val="clear"/>
        </w:rPr>
        <w:t>Climate</w:t>
      </w:r>
      <w:r>
        <w:rPr>
          <w:rFonts w:ascii="Calibri"/>
          <w:color w:val="000000"/>
          <w:spacing w:val="-4"/>
          <w:sz w:val="20"/>
          <w:shd w:fill="FBFBFB" w:color="auto" w:val="clear"/>
        </w:rPr>
        <w:t> </w:t>
      </w:r>
      <w:r>
        <w:rPr>
          <w:rFonts w:ascii="Calibri"/>
          <w:color w:val="000000"/>
          <w:sz w:val="20"/>
          <w:shd w:fill="FBFBFB" w:color="auto" w:val="clear"/>
        </w:rPr>
        <w:t>Change</w:t>
      </w:r>
      <w:r>
        <w:rPr>
          <w:rFonts w:ascii="Calibri"/>
          <w:color w:val="000000"/>
          <w:spacing w:val="-5"/>
          <w:sz w:val="20"/>
          <w:shd w:fill="FBFBFB" w:color="auto" w:val="clear"/>
        </w:rPr>
        <w:t> </w:t>
      </w:r>
      <w:r>
        <w:rPr>
          <w:rFonts w:ascii="Calibri"/>
          <w:color w:val="000000"/>
          <w:sz w:val="20"/>
          <w:shd w:fill="FBFBFB" w:color="auto" w:val="clear"/>
        </w:rPr>
        <w:t>Health</w:t>
      </w:r>
      <w:r>
        <w:rPr>
          <w:rFonts w:ascii="Calibri"/>
          <w:color w:val="000000"/>
          <w:spacing w:val="-2"/>
          <w:sz w:val="20"/>
          <w:shd w:fill="FBFBFB" w:color="auto" w:val="clear"/>
        </w:rPr>
        <w:t> </w:t>
      </w:r>
      <w:r>
        <w:rPr>
          <w:rFonts w:ascii="Calibri"/>
          <w:color w:val="000000"/>
          <w:sz w:val="20"/>
          <w:shd w:fill="FBFBFB" w:color="auto" w:val="clear"/>
        </w:rPr>
        <w:t>Impacts</w:t>
      </w:r>
      <w:r>
        <w:rPr>
          <w:rFonts w:ascii="Calibri"/>
          <w:color w:val="000000"/>
          <w:spacing w:val="-5"/>
          <w:sz w:val="20"/>
          <w:shd w:fill="FBFBFB" w:color="auto" w:val="clear"/>
        </w:rPr>
        <w:t> </w:t>
      </w:r>
      <w:r>
        <w:rPr>
          <w:rFonts w:ascii="Calibri"/>
          <w:color w:val="000000"/>
          <w:sz w:val="20"/>
          <w:shd w:fill="FBFBFB" w:color="auto" w:val="clear"/>
        </w:rPr>
        <w:t>and</w:t>
      </w:r>
      <w:r>
        <w:rPr>
          <w:rFonts w:ascii="Calibri"/>
          <w:color w:val="000000"/>
          <w:spacing w:val="-3"/>
          <w:sz w:val="20"/>
          <w:shd w:fill="FBFBFB" w:color="auto" w:val="clear"/>
        </w:rPr>
        <w:t> </w:t>
      </w:r>
      <w:r>
        <w:rPr>
          <w:rFonts w:ascii="Calibri"/>
          <w:color w:val="000000"/>
          <w:sz w:val="20"/>
          <w:shd w:fill="FBFBFB" w:color="auto" w:val="clear"/>
        </w:rPr>
        <w:t>Vulnerability</w:t>
      </w:r>
      <w:r>
        <w:rPr>
          <w:rFonts w:ascii="Calibri"/>
          <w:color w:val="000000"/>
          <w:spacing w:val="-2"/>
          <w:sz w:val="20"/>
          <w:shd w:fill="FBFBFB" w:color="auto" w:val="clear"/>
        </w:rPr>
        <w:t> </w:t>
      </w:r>
      <w:r>
        <w:rPr>
          <w:rFonts w:ascii="Calibri"/>
          <w:color w:val="000000"/>
          <w:sz w:val="20"/>
          <w:shd w:fill="FBFBFB" w:color="auto" w:val="clear"/>
        </w:rPr>
        <w:t>Conceptual</w:t>
      </w:r>
      <w:r>
        <w:rPr>
          <w:rFonts w:ascii="Calibri"/>
          <w:color w:val="000000"/>
          <w:spacing w:val="-3"/>
          <w:sz w:val="20"/>
          <w:shd w:fill="FBFBFB" w:color="auto" w:val="clear"/>
        </w:rPr>
        <w:t> </w:t>
      </w:r>
      <w:r>
        <w:rPr>
          <w:rFonts w:ascii="Calibri"/>
          <w:color w:val="000000"/>
          <w:sz w:val="20"/>
          <w:shd w:fill="FBFBFB" w:color="auto" w:val="clear"/>
        </w:rPr>
        <w:t>Model.</w:t>
      </w:r>
      <w:r>
        <w:rPr>
          <w:rFonts w:ascii="Calibri"/>
          <w:color w:val="000000"/>
          <w:spacing w:val="-3"/>
          <w:sz w:val="20"/>
          <w:shd w:fill="FBFBFB" w:color="auto" w:val="clear"/>
        </w:rPr>
        <w:t> </w:t>
      </w:r>
      <w:r>
        <w:rPr>
          <w:rFonts w:ascii="Calibri"/>
          <w:color w:val="000000"/>
          <w:sz w:val="20"/>
          <w:shd w:fill="FBFBFB" w:color="auto" w:val="clear"/>
        </w:rPr>
        <w:t>(Adapted from</w:t>
      </w:r>
      <w:r>
        <w:rPr>
          <w:rFonts w:ascii="Calibri"/>
          <w:color w:val="000000"/>
          <w:spacing w:val="3"/>
          <w:sz w:val="20"/>
          <w:shd w:fill="FBFBFB" w:color="auto" w:val="clear"/>
        </w:rPr>
        <w:t> </w:t>
      </w:r>
      <w:r>
        <w:rPr>
          <w:rFonts w:ascii="Calibri"/>
          <w:color w:val="000000"/>
          <w:sz w:val="20"/>
        </w:rPr>
        <w:t>Confalonieri,</w:t>
      </w:r>
      <w:r>
        <w:rPr>
          <w:rFonts w:ascii="Calibri"/>
          <w:color w:val="000000"/>
          <w:spacing w:val="-3"/>
          <w:sz w:val="20"/>
        </w:rPr>
        <w:t> </w:t>
      </w:r>
      <w:r>
        <w:rPr>
          <w:rFonts w:ascii="Calibri"/>
          <w:color w:val="000000"/>
          <w:sz w:val="20"/>
        </w:rPr>
        <w:t>et</w:t>
      </w:r>
      <w:r>
        <w:rPr>
          <w:rFonts w:ascii="Calibri"/>
          <w:color w:val="000000"/>
          <w:spacing w:val="-3"/>
          <w:sz w:val="20"/>
        </w:rPr>
        <w:t> </w:t>
      </w:r>
      <w:r>
        <w:rPr>
          <w:rFonts w:ascii="Calibri"/>
          <w:color w:val="000000"/>
          <w:sz w:val="20"/>
        </w:rPr>
        <w:t>al.,</w:t>
      </w:r>
      <w:r>
        <w:rPr>
          <w:rFonts w:ascii="Calibri"/>
          <w:color w:val="000000"/>
          <w:spacing w:val="-42"/>
          <w:sz w:val="20"/>
        </w:rPr>
        <w:t> </w:t>
      </w:r>
      <w:r>
        <w:rPr>
          <w:rFonts w:ascii="Calibri"/>
          <w:color w:val="000000"/>
          <w:sz w:val="20"/>
        </w:rPr>
        <w:t>2009;</w:t>
      </w:r>
      <w:r>
        <w:rPr>
          <w:rFonts w:ascii="Calibri"/>
          <w:color w:val="000000"/>
          <w:spacing w:val="-2"/>
          <w:sz w:val="20"/>
        </w:rPr>
        <w:t> </w:t>
      </w:r>
      <w:r>
        <w:rPr>
          <w:rFonts w:ascii="Calibri"/>
          <w:color w:val="000000"/>
          <w:sz w:val="20"/>
        </w:rPr>
        <w:t>Marolla, 2016).</w:t>
      </w:r>
    </w:p>
    <w:p>
      <w:pPr>
        <w:pStyle w:val="BodyText"/>
        <w:ind w:left="0"/>
        <w:rPr>
          <w:rFonts w:ascii="Calibri"/>
          <w:sz w:val="20"/>
        </w:rPr>
      </w:pPr>
    </w:p>
    <w:p>
      <w:pPr>
        <w:pStyle w:val="BodyText"/>
        <w:ind w:left="0"/>
        <w:rPr>
          <w:rFonts w:ascii="Calibri"/>
          <w:sz w:val="20"/>
        </w:rPr>
      </w:pPr>
    </w:p>
    <w:p>
      <w:pPr>
        <w:pStyle w:val="BodyText"/>
        <w:ind w:left="0"/>
        <w:rPr>
          <w:rFonts w:ascii="Calibri"/>
          <w:sz w:val="20"/>
        </w:rPr>
      </w:pPr>
    </w:p>
    <w:p>
      <w:pPr>
        <w:pStyle w:val="BodyText"/>
        <w:ind w:left="0"/>
        <w:rPr>
          <w:rFonts w:ascii="Calibri"/>
          <w:sz w:val="17"/>
        </w:rPr>
      </w:pPr>
    </w:p>
    <w:p>
      <w:pPr>
        <w:pStyle w:val="BodyText"/>
        <w:spacing w:line="480" w:lineRule="auto"/>
        <w:ind w:right="188"/>
      </w:pPr>
      <w:r>
        <w:rPr/>
        <w:t>Henceforth, the framework</w:t>
      </w:r>
      <w:r>
        <w:rPr>
          <w:spacing w:val="1"/>
        </w:rPr>
        <w:t> </w:t>
      </w:r>
      <w:r>
        <w:rPr/>
        <w:t>describes how health systems respond to climatic impacts leading</w:t>
      </w:r>
      <w:r>
        <w:rPr>
          <w:spacing w:val="1"/>
        </w:rPr>
        <w:t> </w:t>
      </w:r>
      <w:r>
        <w:rPr/>
        <w:t>cause</w:t>
      </w:r>
      <w:r>
        <w:rPr>
          <w:spacing w:val="-1"/>
        </w:rPr>
        <w:t> </w:t>
      </w:r>
      <w:r>
        <w:rPr/>
        <w:t>to</w:t>
      </w:r>
      <w:r>
        <w:rPr>
          <w:spacing w:val="-1"/>
        </w:rPr>
        <w:t> </w:t>
      </w:r>
      <w:r>
        <w:rPr/>
        <w:t>chronic</w:t>
      </w:r>
      <w:r>
        <w:rPr>
          <w:spacing w:val="-2"/>
        </w:rPr>
        <w:t> </w:t>
      </w:r>
      <w:r>
        <w:rPr/>
        <w:t>stress</w:t>
      </w:r>
      <w:r>
        <w:rPr>
          <w:spacing w:val="-1"/>
        </w:rPr>
        <w:t> </w:t>
      </w:r>
      <w:r>
        <w:rPr/>
        <w:t>and</w:t>
      </w:r>
      <w:r>
        <w:rPr>
          <w:spacing w:val="-1"/>
        </w:rPr>
        <w:t> </w:t>
      </w:r>
      <w:r>
        <w:rPr/>
        <w:t>acute</w:t>
      </w:r>
      <w:r>
        <w:rPr>
          <w:spacing w:val="-1"/>
        </w:rPr>
        <w:t> </w:t>
      </w:r>
      <w:r>
        <w:rPr/>
        <w:t>shocks.</w:t>
      </w:r>
      <w:r>
        <w:rPr>
          <w:spacing w:val="-1"/>
        </w:rPr>
        <w:t> </w:t>
      </w:r>
      <w:r>
        <w:rPr/>
        <w:t>The</w:t>
      </w:r>
      <w:r>
        <w:rPr>
          <w:spacing w:val="-2"/>
        </w:rPr>
        <w:t> </w:t>
      </w:r>
      <w:r>
        <w:rPr/>
        <w:t>diagram</w:t>
      </w:r>
      <w:r>
        <w:rPr>
          <w:spacing w:val="-1"/>
        </w:rPr>
        <w:t> </w:t>
      </w:r>
      <w:r>
        <w:rPr/>
        <w:t>brings</w:t>
      </w:r>
      <w:r>
        <w:rPr>
          <w:spacing w:val="-1"/>
        </w:rPr>
        <w:t> </w:t>
      </w:r>
      <w:r>
        <w:rPr/>
        <w:t>together</w:t>
      </w:r>
      <w:r>
        <w:rPr>
          <w:spacing w:val="-1"/>
        </w:rPr>
        <w:t> </w:t>
      </w:r>
      <w:r>
        <w:rPr/>
        <w:t>the</w:t>
      </w:r>
      <w:r>
        <w:rPr>
          <w:spacing w:val="-3"/>
        </w:rPr>
        <w:t> </w:t>
      </w:r>
      <w:r>
        <w:rPr/>
        <w:t>different</w:t>
      </w:r>
      <w:r>
        <w:rPr>
          <w:spacing w:val="-1"/>
        </w:rPr>
        <w:t> </w:t>
      </w:r>
      <w:r>
        <w:rPr/>
        <w:t>climate</w:t>
      </w:r>
      <w:r>
        <w:rPr>
          <w:spacing w:val="-1"/>
        </w:rPr>
        <w:t> </w:t>
      </w:r>
      <w:r>
        <w:rPr/>
        <w:t>change</w:t>
      </w:r>
      <w:r>
        <w:rPr>
          <w:spacing w:val="-57"/>
        </w:rPr>
        <w:t> </w:t>
      </w:r>
      <w:r>
        <w:rPr/>
        <w:t>concepts discussed earlier and illustrates how they are all intertwined when applied to health</w:t>
      </w:r>
      <w:r>
        <w:rPr>
          <w:spacing w:val="1"/>
        </w:rPr>
        <w:t> </w:t>
      </w:r>
      <w:r>
        <w:rPr/>
        <w:t>systems. Resilience is conceptualized as a system property characterized by reduced vulnerability</w:t>
      </w:r>
      <w:r>
        <w:rPr>
          <w:spacing w:val="-57"/>
        </w:rPr>
        <w:t> </w:t>
      </w:r>
      <w:r>
        <w:rPr/>
        <w:t>and increased adaptive capacity (Smit &amp; Wandel, 2006; Van Dinthe &amp; Ovink, 2021).</w:t>
      </w:r>
      <w:r>
        <w:rPr>
          <w:spacing w:val="1"/>
        </w:rPr>
        <w:t> </w:t>
      </w:r>
      <w:r>
        <w:rPr/>
        <w:t>Adaptation</w:t>
      </w:r>
      <w:r>
        <w:rPr>
          <w:spacing w:val="1"/>
        </w:rPr>
        <w:t> </w:t>
      </w:r>
      <w:r>
        <w:rPr/>
        <w:t>or the process of adjustment to actual or expected climate and its effects in human systems to</w:t>
      </w:r>
      <w:r>
        <w:rPr>
          <w:spacing w:val="1"/>
        </w:rPr>
        <w:t> </w:t>
      </w:r>
      <w:r>
        <w:rPr/>
        <w:t>moderate</w:t>
      </w:r>
      <w:r>
        <w:rPr>
          <w:spacing w:val="-1"/>
        </w:rPr>
        <w:t> </w:t>
      </w:r>
      <w:r>
        <w:rPr/>
        <w:t>or avoid</w:t>
      </w:r>
      <w:r>
        <w:rPr>
          <w:spacing w:val="-1"/>
        </w:rPr>
        <w:t> </w:t>
      </w:r>
      <w:r>
        <w:rPr/>
        <w:t>harm</w:t>
      </w:r>
      <w:r>
        <w:rPr>
          <w:spacing w:val="2"/>
        </w:rPr>
        <w:t> </w:t>
      </w:r>
      <w:r>
        <w:rPr/>
        <w:t>or</w:t>
      </w:r>
      <w:r>
        <w:rPr>
          <w:spacing w:val="-2"/>
        </w:rPr>
        <w:t> </w:t>
      </w:r>
      <w:r>
        <w:rPr/>
        <w:t>exploit beneficial opportunities</w:t>
      </w:r>
      <w:r>
        <w:rPr>
          <w:spacing w:val="-1"/>
        </w:rPr>
        <w:t> </w:t>
      </w:r>
      <w:r>
        <w:rPr/>
        <w:t>(IPCC, 2014)</w:t>
      </w:r>
      <w:r>
        <w:rPr>
          <w:spacing w:val="-2"/>
        </w:rPr>
        <w:t> </w:t>
      </w:r>
      <w:r>
        <w:rPr/>
        <w:t>is not explicitly</w:t>
      </w:r>
    </w:p>
    <w:p>
      <w:pPr>
        <w:pStyle w:val="BodyText"/>
        <w:spacing w:before="3"/>
      </w:pPr>
      <w:r>
        <w:rPr/>
        <w:t>mentioned,</w:t>
      </w:r>
      <w:r>
        <w:rPr>
          <w:spacing w:val="-1"/>
        </w:rPr>
        <w:t> </w:t>
      </w:r>
      <w:r>
        <w:rPr/>
        <w:t>However,</w:t>
      </w:r>
      <w:r>
        <w:rPr>
          <w:spacing w:val="58"/>
        </w:rPr>
        <w:t> </w:t>
      </w:r>
      <w:r>
        <w:rPr/>
        <w:t>the</w:t>
      </w:r>
      <w:r>
        <w:rPr>
          <w:spacing w:val="-3"/>
        </w:rPr>
        <w:t> </w:t>
      </w:r>
      <w:r>
        <w:rPr/>
        <w:t>framework’s</w:t>
      </w:r>
      <w:r>
        <w:rPr>
          <w:spacing w:val="1"/>
        </w:rPr>
        <w:t> </w:t>
      </w:r>
      <w:r>
        <w:rPr/>
        <w:t>elements</w:t>
      </w:r>
      <w:r>
        <w:rPr>
          <w:spacing w:val="-1"/>
        </w:rPr>
        <w:t> </w:t>
      </w:r>
      <w:r>
        <w:rPr/>
        <w:t>include</w:t>
      </w:r>
      <w:r>
        <w:rPr>
          <w:spacing w:val="-1"/>
        </w:rPr>
        <w:t> </w:t>
      </w:r>
      <w:r>
        <w:rPr/>
        <w:t>the</w:t>
      </w:r>
      <w:r>
        <w:rPr>
          <w:spacing w:val="-2"/>
        </w:rPr>
        <w:t> </w:t>
      </w:r>
      <w:r>
        <w:rPr/>
        <w:t>transformation</w:t>
      </w:r>
      <w:r>
        <w:rPr>
          <w:spacing w:val="-1"/>
        </w:rPr>
        <w:t> </w:t>
      </w:r>
      <w:r>
        <w:rPr/>
        <w:t>and/or</w:t>
      </w:r>
      <w:r>
        <w:rPr>
          <w:spacing w:val="-1"/>
        </w:rPr>
        <w:t> </w:t>
      </w:r>
      <w:r>
        <w:rPr/>
        <w:t>recovering</w:t>
      </w:r>
      <w:r>
        <w:rPr>
          <w:spacing w:val="-3"/>
        </w:rPr>
        <w:t> </w:t>
      </w:r>
      <w:r>
        <w:rPr/>
        <w:t>to</w:t>
      </w:r>
      <w:r>
        <w:rPr>
          <w:spacing w:val="-1"/>
        </w:rPr>
        <w:t> </w:t>
      </w:r>
      <w:r>
        <w:rPr/>
        <w:t>a</w:t>
      </w:r>
    </w:p>
    <w:p>
      <w:pPr>
        <w:spacing w:after="0"/>
        <w:sectPr>
          <w:pgSz w:w="12240" w:h="15840"/>
          <w:pgMar w:top="1420" w:bottom="280" w:left="1220" w:right="1180"/>
        </w:sectPr>
      </w:pPr>
    </w:p>
    <w:p>
      <w:pPr>
        <w:pStyle w:val="BodyText"/>
        <w:spacing w:before="75"/>
      </w:pPr>
      <w:r>
        <w:rPr/>
        <w:t>bettter</w:t>
      </w:r>
      <w:r>
        <w:rPr>
          <w:spacing w:val="-3"/>
        </w:rPr>
        <w:t> </w:t>
      </w:r>
      <w:r>
        <w:rPr/>
        <w:t>state</w:t>
      </w:r>
      <w:r>
        <w:rPr>
          <w:spacing w:val="-1"/>
        </w:rPr>
        <w:t> </w:t>
      </w:r>
      <w:r>
        <w:rPr/>
        <w:t>as</w:t>
      </w:r>
      <w:r>
        <w:rPr>
          <w:spacing w:val="-1"/>
        </w:rPr>
        <w:t> </w:t>
      </w:r>
      <w:r>
        <w:rPr/>
        <w:t>the potential outcome</w:t>
      </w:r>
      <w:r>
        <w:rPr>
          <w:spacing w:val="-1"/>
        </w:rPr>
        <w:t> </w:t>
      </w:r>
      <w:r>
        <w:rPr/>
        <w:t>for</w:t>
      </w:r>
      <w:r>
        <w:rPr>
          <w:spacing w:val="-1"/>
        </w:rPr>
        <w:t> </w:t>
      </w:r>
      <w:r>
        <w:rPr/>
        <w:t>the</w:t>
      </w:r>
      <w:r>
        <w:rPr>
          <w:spacing w:val="-1"/>
        </w:rPr>
        <w:t> </w:t>
      </w:r>
      <w:r>
        <w:rPr/>
        <w:t>health-system-wide</w:t>
      </w:r>
      <w:r>
        <w:rPr>
          <w:spacing w:val="-1"/>
        </w:rPr>
        <w:t> </w:t>
      </w:r>
      <w:r>
        <w:rPr/>
        <w:t>responses to</w:t>
      </w:r>
      <w:r>
        <w:rPr>
          <w:spacing w:val="-1"/>
        </w:rPr>
        <w:t> </w:t>
      </w:r>
      <w:r>
        <w:rPr/>
        <w:t>climatic</w:t>
      </w:r>
      <w:r>
        <w:rPr>
          <w:spacing w:val="-1"/>
        </w:rPr>
        <w:t> </w:t>
      </w:r>
      <w:r>
        <w:rPr/>
        <w:t>hazards.</w:t>
      </w:r>
    </w:p>
    <w:p>
      <w:pPr>
        <w:pStyle w:val="BodyText"/>
        <w:ind w:left="0"/>
        <w:rPr>
          <w:sz w:val="26"/>
        </w:rPr>
      </w:pPr>
    </w:p>
    <w:p>
      <w:pPr>
        <w:pStyle w:val="BodyText"/>
        <w:spacing w:line="480" w:lineRule="auto" w:before="174"/>
        <w:ind w:right="364"/>
      </w:pPr>
      <w:r>
        <w:rPr/>
        <w:t>This framework is an initial attempt to apply concepts used in climate science and social-</w:t>
      </w:r>
      <w:r>
        <w:rPr>
          <w:spacing w:val="1"/>
        </w:rPr>
        <w:t> </w:t>
      </w:r>
      <w:r>
        <w:rPr/>
        <w:t>ecological</w:t>
      </w:r>
      <w:r>
        <w:rPr>
          <w:spacing w:val="-3"/>
        </w:rPr>
        <w:t> </w:t>
      </w:r>
      <w:r>
        <w:rPr/>
        <w:t>systems</w:t>
      </w:r>
      <w:r>
        <w:rPr>
          <w:spacing w:val="-2"/>
        </w:rPr>
        <w:t> </w:t>
      </w:r>
      <w:r>
        <w:rPr/>
        <w:t>to</w:t>
      </w:r>
      <w:r>
        <w:rPr>
          <w:spacing w:val="-2"/>
        </w:rPr>
        <w:t> </w:t>
      </w:r>
      <w:r>
        <w:rPr/>
        <w:t>health</w:t>
      </w:r>
      <w:r>
        <w:rPr>
          <w:spacing w:val="-2"/>
        </w:rPr>
        <w:t> </w:t>
      </w:r>
      <w:r>
        <w:rPr/>
        <w:t>systems</w:t>
      </w:r>
      <w:r>
        <w:rPr>
          <w:spacing w:val="-2"/>
        </w:rPr>
        <w:t> </w:t>
      </w:r>
      <w:r>
        <w:rPr/>
        <w:t>thinking,</w:t>
      </w:r>
      <w:r>
        <w:rPr>
          <w:spacing w:val="-2"/>
        </w:rPr>
        <w:t> </w:t>
      </w:r>
      <w:r>
        <w:rPr/>
        <w:t>and empirical</w:t>
      </w:r>
      <w:r>
        <w:rPr>
          <w:spacing w:val="-3"/>
        </w:rPr>
        <w:t> </w:t>
      </w:r>
      <w:r>
        <w:rPr/>
        <w:t>work</w:t>
      </w:r>
      <w:r>
        <w:rPr>
          <w:spacing w:val="-2"/>
        </w:rPr>
        <w:t> </w:t>
      </w:r>
      <w:r>
        <w:rPr/>
        <w:t>through research</w:t>
      </w:r>
      <w:r>
        <w:rPr>
          <w:spacing w:val="-2"/>
        </w:rPr>
        <w:t> </w:t>
      </w:r>
      <w:r>
        <w:rPr/>
        <w:t>and</w:t>
      </w:r>
      <w:r>
        <w:rPr>
          <w:spacing w:val="-2"/>
        </w:rPr>
        <w:t> </w:t>
      </w:r>
      <w:r>
        <w:rPr/>
        <w:t>practice</w:t>
      </w:r>
      <w:r>
        <w:rPr>
          <w:spacing w:val="-57"/>
        </w:rPr>
        <w:t> </w:t>
      </w:r>
      <w:r>
        <w:rPr/>
        <w:t>to</w:t>
      </w:r>
      <w:r>
        <w:rPr>
          <w:spacing w:val="-1"/>
        </w:rPr>
        <w:t> </w:t>
      </w:r>
      <w:r>
        <w:rPr/>
        <w:t>demonstrate how</w:t>
      </w:r>
      <w:r>
        <w:rPr>
          <w:spacing w:val="-1"/>
        </w:rPr>
        <w:t> </w:t>
      </w:r>
      <w:r>
        <w:rPr/>
        <w:t>these concepts operate.</w:t>
      </w:r>
    </w:p>
    <w:p>
      <w:pPr>
        <w:pStyle w:val="BodyText"/>
        <w:spacing w:line="480" w:lineRule="auto" w:before="199"/>
        <w:ind w:right="110"/>
      </w:pPr>
      <w:r>
        <w:rPr/>
        <w:t>Climate change can influence the type and extent of health impacts that will be also affected by a</w:t>
      </w:r>
      <w:r>
        <w:rPr>
          <w:spacing w:val="1"/>
        </w:rPr>
        <w:t> </w:t>
      </w:r>
      <w:r>
        <w:rPr/>
        <w:t>large number of physical, environmental, economic and social variables connected to health</w:t>
      </w:r>
      <w:r>
        <w:rPr>
          <w:spacing w:val="1"/>
        </w:rPr>
        <w:t> </w:t>
      </w:r>
      <w:r>
        <w:rPr/>
        <w:t>(Brown et al., 2011); henceforth,</w:t>
      </w:r>
      <w:r>
        <w:rPr>
          <w:spacing w:val="1"/>
        </w:rPr>
        <w:t> </w:t>
      </w:r>
      <w:r>
        <w:rPr/>
        <w:t>this research should provide knowledge for decision-makers to</w:t>
      </w:r>
      <w:r>
        <w:rPr>
          <w:spacing w:val="1"/>
        </w:rPr>
        <w:t> </w:t>
      </w:r>
      <w:r>
        <w:rPr/>
        <w:t>use to enhance policies based on climate science and disaster risk management. As a result, the</w:t>
      </w:r>
      <w:r>
        <w:rPr>
          <w:spacing w:val="1"/>
        </w:rPr>
        <w:t> </w:t>
      </w:r>
      <w:r>
        <w:rPr/>
        <w:t>proposed research will narrow the existing gap of policy interest in urban climate health risk and</w:t>
      </w:r>
      <w:r>
        <w:rPr>
          <w:spacing w:val="1"/>
        </w:rPr>
        <w:t> </w:t>
      </w:r>
      <w:r>
        <w:rPr/>
        <w:t>recommends a systems view of risk assessment and proactive approach to risk management</w:t>
      </w:r>
      <w:r>
        <w:rPr>
          <w:spacing w:val="1"/>
        </w:rPr>
        <w:t> </w:t>
      </w:r>
      <w:r>
        <w:rPr/>
        <w:t>through a shared response at local and international levels that would become increasingly</w:t>
      </w:r>
      <w:r>
        <w:rPr>
          <w:spacing w:val="1"/>
        </w:rPr>
        <w:t> </w:t>
      </w:r>
      <w:r>
        <w:rPr/>
        <w:t>important to measuring vulnerabilities and build resilient capacity to prepare, absorb, recover, and</w:t>
      </w:r>
      <w:r>
        <w:rPr>
          <w:spacing w:val="1"/>
        </w:rPr>
        <w:t> </w:t>
      </w:r>
      <w:r>
        <w:rPr/>
        <w:t>adapt</w:t>
      </w:r>
      <w:r>
        <w:rPr>
          <w:spacing w:val="1"/>
        </w:rPr>
        <w:t> </w:t>
      </w:r>
      <w:r>
        <w:rPr/>
        <w:t>in the face of disturbances such as natural and anthropogenic disasters, including those</w:t>
      </w:r>
      <w:r>
        <w:rPr>
          <w:spacing w:val="1"/>
        </w:rPr>
        <w:t> </w:t>
      </w:r>
      <w:r>
        <w:rPr/>
        <w:t>driven</w:t>
      </w:r>
      <w:r>
        <w:rPr>
          <w:spacing w:val="1"/>
        </w:rPr>
        <w:t> </w:t>
      </w:r>
      <w:r>
        <w:rPr/>
        <w:t>by changing climate and related conditions (Goldsmith, 2016). A health risk impact</w:t>
      </w:r>
      <w:r>
        <w:rPr>
          <w:spacing w:val="1"/>
        </w:rPr>
        <w:t> </w:t>
      </w:r>
      <w:r>
        <w:rPr/>
        <w:t>assessment of policies, plans, and projects and the understanding of the interactions between</w:t>
      </w:r>
      <w:r>
        <w:rPr>
          <w:spacing w:val="1"/>
        </w:rPr>
        <w:t> </w:t>
      </w:r>
      <w:r>
        <w:rPr/>
        <w:t>people, the environment and climate are critical when implementing adaptation strategies designed</w:t>
      </w:r>
      <w:r>
        <w:rPr>
          <w:spacing w:val="-57"/>
        </w:rPr>
        <w:t> </w:t>
      </w:r>
      <w:r>
        <w:rPr/>
        <w:t>to</w:t>
      </w:r>
      <w:r>
        <w:rPr>
          <w:spacing w:val="-1"/>
        </w:rPr>
        <w:t> </w:t>
      </w:r>
      <w:r>
        <w:rPr/>
        <w:t>assess the</w:t>
      </w:r>
      <w:r>
        <w:rPr>
          <w:spacing w:val="-1"/>
        </w:rPr>
        <w:t> </w:t>
      </w:r>
      <w:r>
        <w:rPr/>
        <w:t>potential health impacts of</w:t>
      </w:r>
      <w:r>
        <w:rPr>
          <w:spacing w:val="-1"/>
        </w:rPr>
        <w:t> </w:t>
      </w:r>
      <w:r>
        <w:rPr/>
        <w:t>climate</w:t>
      </w:r>
      <w:r>
        <w:rPr>
          <w:spacing w:val="-1"/>
        </w:rPr>
        <w:t> </w:t>
      </w:r>
      <w:r>
        <w:rPr/>
        <w:t>change</w:t>
      </w:r>
      <w:r>
        <w:rPr>
          <w:spacing w:val="2"/>
        </w:rPr>
        <w:t> </w:t>
      </w:r>
      <w:r>
        <w:rPr/>
        <w:t>(Brown,</w:t>
      </w:r>
      <w:r>
        <w:rPr>
          <w:spacing w:val="2"/>
        </w:rPr>
        <w:t> </w:t>
      </w:r>
      <w:r>
        <w:rPr/>
        <w:t>et al., 2014).</w:t>
      </w:r>
    </w:p>
    <w:p>
      <w:pPr>
        <w:pStyle w:val="BodyText"/>
        <w:ind w:left="0"/>
        <w:rPr>
          <w:sz w:val="26"/>
        </w:rPr>
      </w:pPr>
    </w:p>
    <w:p>
      <w:pPr>
        <w:pStyle w:val="BodyText"/>
        <w:ind w:left="0"/>
        <w:rPr>
          <w:sz w:val="26"/>
        </w:rPr>
      </w:pPr>
    </w:p>
    <w:p>
      <w:pPr>
        <w:pStyle w:val="Heading1"/>
        <w:spacing w:before="207"/>
      </w:pPr>
      <w:r>
        <w:rPr>
          <w:color w:val="1F1F1E"/>
        </w:rPr>
        <w:t>Methodology</w:t>
      </w:r>
    </w:p>
    <w:p>
      <w:pPr>
        <w:pStyle w:val="BodyText"/>
        <w:spacing w:line="480" w:lineRule="auto" w:before="275"/>
        <w:ind w:right="116"/>
        <w:jc w:val="both"/>
      </w:pPr>
      <w:r>
        <w:rPr/>
        <w:t>This</w:t>
      </w:r>
      <w:r>
        <w:rPr>
          <w:spacing w:val="1"/>
        </w:rPr>
        <w:t> </w:t>
      </w:r>
      <w:r>
        <w:rPr/>
        <w:t>research</w:t>
      </w:r>
      <w:r>
        <w:rPr>
          <w:spacing w:val="1"/>
        </w:rPr>
        <w:t> </w:t>
      </w:r>
      <w:r>
        <w:rPr/>
        <w:t>addresses</w:t>
      </w:r>
      <w:r>
        <w:rPr>
          <w:spacing w:val="1"/>
        </w:rPr>
        <w:t> </w:t>
      </w:r>
      <w:r>
        <w:rPr/>
        <w:t>the</w:t>
      </w:r>
      <w:r>
        <w:rPr>
          <w:spacing w:val="1"/>
        </w:rPr>
        <w:t> </w:t>
      </w:r>
      <w:r>
        <w:rPr/>
        <w:t>following</w:t>
      </w:r>
      <w:r>
        <w:rPr>
          <w:spacing w:val="1"/>
        </w:rPr>
        <w:t> </w:t>
      </w:r>
      <w:r>
        <w:rPr/>
        <w:t>research</w:t>
      </w:r>
      <w:r>
        <w:rPr>
          <w:spacing w:val="1"/>
        </w:rPr>
        <w:t> </w:t>
      </w:r>
      <w:r>
        <w:rPr/>
        <w:t>question:</w:t>
      </w:r>
      <w:r>
        <w:rPr>
          <w:spacing w:val="1"/>
        </w:rPr>
        <w:t> </w:t>
      </w:r>
      <w:r>
        <w:rPr/>
        <w:t>How</w:t>
      </w:r>
      <w:r>
        <w:rPr>
          <w:spacing w:val="1"/>
        </w:rPr>
        <w:t> </w:t>
      </w:r>
      <w:r>
        <w:rPr/>
        <w:t>does</w:t>
      </w:r>
      <w:r>
        <w:rPr>
          <w:spacing w:val="1"/>
        </w:rPr>
        <w:t> </w:t>
      </w:r>
      <w:r>
        <w:rPr/>
        <w:t>climate</w:t>
      </w:r>
      <w:r>
        <w:rPr>
          <w:spacing w:val="1"/>
        </w:rPr>
        <w:t> </w:t>
      </w:r>
      <w:r>
        <w:rPr/>
        <w:t>change</w:t>
      </w:r>
      <w:r>
        <w:rPr>
          <w:spacing w:val="1"/>
        </w:rPr>
        <w:t> </w:t>
      </w:r>
      <w:r>
        <w:rPr/>
        <w:t>disproportionally affect</w:t>
      </w:r>
      <w:r>
        <w:rPr>
          <w:spacing w:val="1"/>
        </w:rPr>
        <w:t> </w:t>
      </w:r>
      <w:r>
        <w:rPr/>
        <w:t>the</w:t>
      </w:r>
      <w:r>
        <w:rPr>
          <w:spacing w:val="1"/>
        </w:rPr>
        <w:t> </w:t>
      </w:r>
      <w:r>
        <w:rPr/>
        <w:t>health</w:t>
      </w:r>
      <w:r>
        <w:rPr>
          <w:spacing w:val="1"/>
        </w:rPr>
        <w:t> </w:t>
      </w:r>
      <w:r>
        <w:rPr/>
        <w:t>of</w:t>
      </w:r>
      <w:r>
        <w:rPr>
          <w:spacing w:val="1"/>
        </w:rPr>
        <w:t> </w:t>
      </w:r>
      <w:r>
        <w:rPr/>
        <w:t>the</w:t>
      </w:r>
      <w:r>
        <w:rPr>
          <w:spacing w:val="1"/>
        </w:rPr>
        <w:t> </w:t>
      </w:r>
      <w:r>
        <w:rPr/>
        <w:t>urban</w:t>
      </w:r>
      <w:r>
        <w:rPr>
          <w:spacing w:val="1"/>
        </w:rPr>
        <w:t> </w:t>
      </w:r>
      <w:r>
        <w:rPr/>
        <w:t>poor</w:t>
      </w:r>
      <w:r>
        <w:rPr>
          <w:spacing w:val="1"/>
        </w:rPr>
        <w:t> </w:t>
      </w:r>
      <w:r>
        <w:rPr/>
        <w:t>living in</w:t>
      </w:r>
      <w:r>
        <w:rPr>
          <w:spacing w:val="1"/>
        </w:rPr>
        <w:t> </w:t>
      </w:r>
      <w:r>
        <w:rPr/>
        <w:t>the</w:t>
      </w:r>
      <w:r>
        <w:rPr>
          <w:spacing w:val="1"/>
        </w:rPr>
        <w:t> </w:t>
      </w:r>
      <w:r>
        <w:rPr/>
        <w:t>world’s</w:t>
      </w:r>
      <w:r>
        <w:rPr>
          <w:spacing w:val="60"/>
        </w:rPr>
        <w:t> </w:t>
      </w:r>
      <w:r>
        <w:rPr/>
        <w:t>megacities?</w:t>
      </w:r>
      <w:r>
        <w:rPr>
          <w:spacing w:val="60"/>
        </w:rPr>
        <w:t> </w:t>
      </w:r>
      <w:r>
        <w:rPr/>
        <w:t>The</w:t>
      </w:r>
      <w:r>
        <w:rPr>
          <w:spacing w:val="1"/>
        </w:rPr>
        <w:t> </w:t>
      </w:r>
      <w:r>
        <w:rPr/>
        <w:t>research examine the relationship among four sets of variables related to climatic disasters and</w:t>
      </w:r>
      <w:r>
        <w:rPr>
          <w:spacing w:val="1"/>
        </w:rPr>
        <w:t> </w:t>
      </w:r>
      <w:r>
        <w:rPr/>
        <w:t>subsequent</w:t>
      </w:r>
      <w:r>
        <w:rPr>
          <w:spacing w:val="48"/>
        </w:rPr>
        <w:t> </w:t>
      </w:r>
      <w:r>
        <w:rPr/>
        <w:t>health</w:t>
      </w:r>
      <w:r>
        <w:rPr>
          <w:spacing w:val="52"/>
        </w:rPr>
        <w:t> </w:t>
      </w:r>
      <w:r>
        <w:rPr/>
        <w:t>risks.</w:t>
      </w:r>
      <w:r>
        <w:rPr>
          <w:spacing w:val="52"/>
        </w:rPr>
        <w:t> </w:t>
      </w:r>
      <w:r>
        <w:rPr/>
        <w:t>The</w:t>
      </w:r>
      <w:r>
        <w:rPr>
          <w:spacing w:val="52"/>
        </w:rPr>
        <w:t> </w:t>
      </w:r>
      <w:r>
        <w:rPr/>
        <w:t>characteristics</w:t>
      </w:r>
      <w:r>
        <w:rPr>
          <w:spacing w:val="53"/>
        </w:rPr>
        <w:t> </w:t>
      </w:r>
      <w:r>
        <w:rPr/>
        <w:t>of</w:t>
      </w:r>
      <w:r>
        <w:rPr>
          <w:spacing w:val="53"/>
        </w:rPr>
        <w:t> </w:t>
      </w:r>
      <w:r>
        <w:rPr/>
        <w:t>the</w:t>
      </w:r>
      <w:r>
        <w:rPr>
          <w:spacing w:val="55"/>
        </w:rPr>
        <w:t> </w:t>
      </w:r>
      <w:r>
        <w:rPr/>
        <w:t>targeted</w:t>
      </w:r>
      <w:r>
        <w:rPr>
          <w:spacing w:val="52"/>
        </w:rPr>
        <w:t> </w:t>
      </w:r>
      <w:r>
        <w:rPr/>
        <w:t>population,</w:t>
      </w:r>
      <w:r>
        <w:rPr>
          <w:spacing w:val="53"/>
        </w:rPr>
        <w:t> </w:t>
      </w:r>
      <w:r>
        <w:rPr/>
        <w:t>characteristics</w:t>
      </w:r>
      <w:r>
        <w:rPr>
          <w:spacing w:val="53"/>
        </w:rPr>
        <w:t> </w:t>
      </w:r>
      <w:r>
        <w:rPr/>
        <w:t>of</w:t>
      </w:r>
      <w:r>
        <w:rPr>
          <w:spacing w:val="53"/>
        </w:rPr>
        <w:t> </w:t>
      </w:r>
      <w:r>
        <w:rPr/>
        <w:t>the</w:t>
      </w:r>
    </w:p>
    <w:p>
      <w:pPr>
        <w:spacing w:after="0" w:line="480" w:lineRule="auto"/>
        <w:jc w:val="both"/>
        <w:sectPr>
          <w:pgSz w:w="12240" w:h="15840"/>
          <w:pgMar w:top="1340" w:bottom="280" w:left="1220" w:right="1180"/>
        </w:sectPr>
      </w:pPr>
    </w:p>
    <w:p>
      <w:pPr>
        <w:pStyle w:val="BodyText"/>
        <w:spacing w:line="482" w:lineRule="auto" w:before="72"/>
        <w:ind w:right="121"/>
      </w:pPr>
      <w:r>
        <w:rPr/>
        <w:pict>
          <v:shape style="position:absolute;margin-left:309.77002pt;margin-top:700.536011pt;width:198.65pt;height:47.2pt;mso-position-horizontal-relative:page;mso-position-vertical-relative:page;z-index:-16305152" id="docshape183" coordorigin="6195,14011" coordsize="3973,944" path="m10168,14011l6195,14011,6195,14236,6195,14282,6195,14954,9102,14954,9102,14731,10166,14731,10166,14460,10000,14460,10000,14282,10168,14282,10168,14011xe" filled="true" fillcolor="#ffffff" stroked="false">
            <v:path arrowok="t"/>
            <v:fill type="solid"/>
            <w10:wrap type="none"/>
          </v:shape>
        </w:pict>
      </w:r>
      <w:r>
        <w:rPr/>
        <w:t>disaster,</w:t>
      </w:r>
      <w:r>
        <w:rPr>
          <w:spacing w:val="2"/>
        </w:rPr>
        <w:t> </w:t>
      </w:r>
      <w:r>
        <w:rPr/>
        <w:t>the</w:t>
      </w:r>
      <w:r>
        <w:rPr>
          <w:spacing w:val="3"/>
        </w:rPr>
        <w:t> </w:t>
      </w:r>
      <w:r>
        <w:rPr/>
        <w:t>study</w:t>
      </w:r>
      <w:r>
        <w:rPr>
          <w:spacing w:val="-2"/>
        </w:rPr>
        <w:t> </w:t>
      </w:r>
      <w:r>
        <w:rPr/>
        <w:t>methodology,</w:t>
      </w:r>
      <w:r>
        <w:rPr>
          <w:spacing w:val="3"/>
        </w:rPr>
        <w:t> </w:t>
      </w:r>
      <w:r>
        <w:rPr/>
        <w:t>and</w:t>
      </w:r>
      <w:r>
        <w:rPr>
          <w:spacing w:val="3"/>
        </w:rPr>
        <w:t> </w:t>
      </w:r>
      <w:r>
        <w:rPr/>
        <w:t>the</w:t>
      </w:r>
      <w:r>
        <w:rPr>
          <w:spacing w:val="3"/>
        </w:rPr>
        <w:t> </w:t>
      </w:r>
      <w:r>
        <w:rPr/>
        <w:t>type</w:t>
      </w:r>
      <w:r>
        <w:rPr>
          <w:spacing w:val="1"/>
        </w:rPr>
        <w:t> </w:t>
      </w:r>
      <w:r>
        <w:rPr/>
        <w:t>of</w:t>
      </w:r>
      <w:r>
        <w:rPr>
          <w:spacing w:val="2"/>
        </w:rPr>
        <w:t> </w:t>
      </w:r>
      <w:r>
        <w:rPr/>
        <w:t>chronic</w:t>
      </w:r>
      <w:r>
        <w:rPr>
          <w:spacing w:val="3"/>
        </w:rPr>
        <w:t> </w:t>
      </w:r>
      <w:r>
        <w:rPr/>
        <w:t>conditions,</w:t>
      </w:r>
      <w:r>
        <w:rPr>
          <w:spacing w:val="4"/>
        </w:rPr>
        <w:t> </w:t>
      </w:r>
      <w:r>
        <w:rPr/>
        <w:t>acute</w:t>
      </w:r>
      <w:r>
        <w:rPr>
          <w:spacing w:val="3"/>
        </w:rPr>
        <w:t> </w:t>
      </w:r>
      <w:r>
        <w:rPr/>
        <w:t>communicable</w:t>
      </w:r>
      <w:r>
        <w:rPr>
          <w:spacing w:val="3"/>
        </w:rPr>
        <w:t> </w:t>
      </w:r>
      <w:r>
        <w:rPr/>
        <w:t>diseases,</w:t>
      </w:r>
      <w:r>
        <w:rPr>
          <w:spacing w:val="-57"/>
        </w:rPr>
        <w:t> </w:t>
      </w:r>
      <w:r>
        <w:rPr/>
        <w:t>and psychopathology</w:t>
      </w:r>
      <w:r>
        <w:rPr>
          <w:spacing w:val="-5"/>
        </w:rPr>
        <w:t> </w:t>
      </w:r>
      <w:r>
        <w:rPr/>
        <w:t>disorders.</w:t>
      </w:r>
    </w:p>
    <w:p>
      <w:pPr>
        <w:pStyle w:val="BodyText"/>
        <w:spacing w:line="477" w:lineRule="auto" w:before="197"/>
        <w:ind w:right="434"/>
      </w:pPr>
      <w:r>
        <w:rPr/>
        <w:t>The case study method is used in this research to examine how climate change can</w:t>
      </w:r>
      <w:r>
        <w:rPr>
          <w:spacing w:val="1"/>
        </w:rPr>
        <w:t> </w:t>
      </w:r>
      <w:r>
        <w:rPr/>
        <w:t>disproportionally affect the</w:t>
      </w:r>
      <w:r>
        <w:rPr>
          <w:spacing w:val="1"/>
        </w:rPr>
        <w:t> </w:t>
      </w:r>
      <w:r>
        <w:rPr/>
        <w:t>health of the urban poor with the evaluation of practical and</w:t>
      </w:r>
      <w:r>
        <w:rPr>
          <w:spacing w:val="1"/>
        </w:rPr>
        <w:t> </w:t>
      </w:r>
      <w:r>
        <w:rPr/>
        <w:t>theoretical cases, differentiated by geographic, demographic and socio-economic factors. The</w:t>
      </w:r>
      <w:r>
        <w:rPr>
          <w:spacing w:val="1"/>
        </w:rPr>
        <w:t> </w:t>
      </w:r>
      <w:r>
        <w:rPr/>
        <w:t>selected research method has been used to support the hypothesis that the urban poor’s health</w:t>
      </w:r>
      <w:r>
        <w:rPr>
          <w:spacing w:val="1"/>
        </w:rPr>
        <w:t> </w:t>
      </w:r>
      <w:r>
        <w:rPr/>
        <w:t>risks are disproportionally affected in comparison with the rest of the population, and it follows</w:t>
      </w:r>
      <w:r>
        <w:rPr>
          <w:spacing w:val="-57"/>
        </w:rPr>
        <w:t> </w:t>
      </w:r>
      <w:r>
        <w:rPr/>
        <w:t>an established multi-case study framework of four megacities in developed and developing</w:t>
      </w:r>
      <w:r>
        <w:rPr>
          <w:spacing w:val="1"/>
        </w:rPr>
        <w:t> </w:t>
      </w:r>
      <w:r>
        <w:rPr/>
        <w:t>countries sampling fom the urban dwellers poorest locations and living conditions within the</w:t>
      </w:r>
      <w:r>
        <w:rPr>
          <w:spacing w:val="1"/>
        </w:rPr>
        <w:t> </w:t>
      </w:r>
      <w:r>
        <w:rPr/>
        <w:t>cities under study, and involves the use of multiple sources of data, including interviews,</w:t>
      </w:r>
      <w:r>
        <w:rPr>
          <w:spacing w:val="1"/>
        </w:rPr>
        <w:t> </w:t>
      </w:r>
      <w:r>
        <w:rPr/>
        <w:t>documents,</w:t>
      </w:r>
      <w:r>
        <w:rPr>
          <w:spacing w:val="-2"/>
        </w:rPr>
        <w:t> </w:t>
      </w:r>
      <w:r>
        <w:rPr/>
        <w:t>journals,</w:t>
      </w:r>
      <w:r>
        <w:rPr>
          <w:spacing w:val="-1"/>
        </w:rPr>
        <w:t> </w:t>
      </w:r>
      <w:r>
        <w:rPr/>
        <w:t>and quantitative</w:t>
      </w:r>
      <w:r>
        <w:rPr>
          <w:spacing w:val="-1"/>
        </w:rPr>
        <w:t> </w:t>
      </w:r>
      <w:r>
        <w:rPr/>
        <w:t>elements,</w:t>
      </w:r>
      <w:r>
        <w:rPr>
          <w:spacing w:val="-1"/>
        </w:rPr>
        <w:t> </w:t>
      </w:r>
      <w:r>
        <w:rPr/>
        <w:t>focusing</w:t>
      </w:r>
      <w:r>
        <w:rPr>
          <w:spacing w:val="-3"/>
        </w:rPr>
        <w:t> </w:t>
      </w:r>
      <w:r>
        <w:rPr/>
        <w:t>on</w:t>
      </w:r>
      <w:r>
        <w:rPr>
          <w:spacing w:val="59"/>
        </w:rPr>
        <w:t> </w:t>
      </w:r>
      <w:r>
        <w:rPr/>
        <w:t>health</w:t>
      </w:r>
      <w:r>
        <w:rPr>
          <w:spacing w:val="-1"/>
        </w:rPr>
        <w:t> </w:t>
      </w:r>
      <w:r>
        <w:rPr/>
        <w:t>risks</w:t>
      </w:r>
      <w:r>
        <w:rPr>
          <w:spacing w:val="-1"/>
        </w:rPr>
        <w:t> </w:t>
      </w:r>
      <w:r>
        <w:rPr/>
        <w:t>outcomes</w:t>
      </w:r>
      <w:r>
        <w:rPr>
          <w:spacing w:val="-1"/>
        </w:rPr>
        <w:t> </w:t>
      </w:r>
      <w:r>
        <w:rPr/>
        <w:t>faced</w:t>
      </w:r>
      <w:r>
        <w:rPr>
          <w:spacing w:val="-1"/>
        </w:rPr>
        <w:t> </w:t>
      </w:r>
      <w:r>
        <w:rPr/>
        <w:t>by</w:t>
      </w:r>
      <w:r>
        <w:rPr>
          <w:spacing w:val="-6"/>
        </w:rPr>
        <w:t> </w:t>
      </w:r>
      <w:r>
        <w:rPr/>
        <w:t>the</w:t>
      </w:r>
      <w:r>
        <w:rPr>
          <w:spacing w:val="-57"/>
        </w:rPr>
        <w:t> </w:t>
      </w:r>
      <w:r>
        <w:rPr/>
        <w:t>urban population and studies vulnerability factors from specific angles. The case study design</w:t>
      </w:r>
      <w:r>
        <w:rPr>
          <w:spacing w:val="1"/>
        </w:rPr>
        <w:t> </w:t>
      </w:r>
      <w:r>
        <w:rPr/>
        <w:t>emphasizes detailed contextual analysis of a limited number of events and conditions and their</w:t>
      </w:r>
      <w:r>
        <w:rPr>
          <w:spacing w:val="1"/>
        </w:rPr>
        <w:t> </w:t>
      </w:r>
      <w:r>
        <w:rPr/>
        <w:t>relationships</w:t>
      </w:r>
      <w:r>
        <w:rPr>
          <w:spacing w:val="-1"/>
        </w:rPr>
        <w:t> </w:t>
      </w:r>
      <w:r>
        <w:rPr/>
        <w:t>(Yin, 2009; Sibbald, et al., 2021).</w:t>
      </w:r>
    </w:p>
    <w:p>
      <w:pPr>
        <w:pStyle w:val="BodyText"/>
        <w:spacing w:line="468" w:lineRule="auto" w:before="205"/>
        <w:ind w:right="926" w:firstLine="60"/>
      </w:pPr>
      <w:r>
        <w:rPr/>
        <w:t>The</w:t>
      </w:r>
      <w:r>
        <w:rPr>
          <w:spacing w:val="-3"/>
        </w:rPr>
        <w:t> </w:t>
      </w:r>
      <w:r>
        <w:rPr/>
        <w:t>findings</w:t>
      </w:r>
      <w:r>
        <w:rPr>
          <w:spacing w:val="1"/>
        </w:rPr>
        <w:t> </w:t>
      </w:r>
      <w:r>
        <w:rPr/>
        <w:t>follow a</w:t>
      </w:r>
      <w:r>
        <w:rPr>
          <w:spacing w:val="-3"/>
        </w:rPr>
        <w:t> </w:t>
      </w:r>
      <w:r>
        <w:rPr/>
        <w:t>trend or</w:t>
      </w:r>
      <w:r>
        <w:rPr>
          <w:spacing w:val="-2"/>
        </w:rPr>
        <w:t> </w:t>
      </w:r>
      <w:r>
        <w:rPr/>
        <w:t>inclination that</w:t>
      </w:r>
      <w:r>
        <w:rPr>
          <w:spacing w:val="-1"/>
        </w:rPr>
        <w:t> </w:t>
      </w:r>
      <w:r>
        <w:rPr/>
        <w:t>can</w:t>
      </w:r>
      <w:r>
        <w:rPr>
          <w:spacing w:val="1"/>
        </w:rPr>
        <w:t> </w:t>
      </w:r>
      <w:r>
        <w:rPr/>
        <w:t>be</w:t>
      </w:r>
      <w:r>
        <w:rPr>
          <w:spacing w:val="-1"/>
        </w:rPr>
        <w:t> </w:t>
      </w:r>
      <w:r>
        <w:rPr/>
        <w:t>verified</w:t>
      </w:r>
      <w:r>
        <w:rPr>
          <w:spacing w:val="3"/>
        </w:rPr>
        <w:t> </w:t>
      </w:r>
      <w:r>
        <w:rPr/>
        <w:t>and consequently</w:t>
      </w:r>
      <w:r>
        <w:rPr>
          <w:spacing w:val="-6"/>
        </w:rPr>
        <w:t> </w:t>
      </w:r>
      <w:r>
        <w:rPr/>
        <w:t>applied to</w:t>
      </w:r>
      <w:r>
        <w:rPr>
          <w:spacing w:val="-57"/>
        </w:rPr>
        <w:t> </w:t>
      </w:r>
      <w:r>
        <w:rPr/>
        <w:t>other</w:t>
      </w:r>
      <w:r>
        <w:rPr>
          <w:spacing w:val="-3"/>
        </w:rPr>
        <w:t> </w:t>
      </w:r>
      <w:r>
        <w:rPr/>
        <w:t>situations (Stewart</w:t>
      </w:r>
      <w:r>
        <w:rPr>
          <w:spacing w:val="1"/>
        </w:rPr>
        <w:t> </w:t>
      </w:r>
      <w:r>
        <w:rPr/>
        <w:t>&amp;</w:t>
      </w:r>
      <w:r>
        <w:rPr>
          <w:spacing w:val="-2"/>
        </w:rPr>
        <w:t> </w:t>
      </w:r>
      <w:r>
        <w:rPr/>
        <w:t>Cash, 2005).</w:t>
      </w:r>
    </w:p>
    <w:p>
      <w:pPr>
        <w:pStyle w:val="BodyText"/>
        <w:spacing w:before="8"/>
        <w:ind w:left="0"/>
        <w:rPr>
          <w:sz w:val="17"/>
        </w:rPr>
      </w:pPr>
    </w:p>
    <w:tbl>
      <w:tblPr>
        <w:tblW w:w="0" w:type="auto"/>
        <w:jc w:val="left"/>
        <w:tblInd w:w="122" w:type="dxa"/>
        <w:tblBorders>
          <w:top w:val="single" w:sz="8" w:space="0" w:color="4AACC5"/>
          <w:left w:val="single" w:sz="8" w:space="0" w:color="4AACC5"/>
          <w:bottom w:val="single" w:sz="8" w:space="0" w:color="4AACC5"/>
          <w:right w:val="single" w:sz="8" w:space="0" w:color="4AACC5"/>
          <w:insideH w:val="single" w:sz="8" w:space="0" w:color="4AACC5"/>
          <w:insideV w:val="single" w:sz="8" w:space="0" w:color="4AACC5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59"/>
        <w:gridCol w:w="4260"/>
        <w:gridCol w:w="235"/>
        <w:gridCol w:w="4098"/>
        <w:gridCol w:w="144"/>
        <w:gridCol w:w="235"/>
      </w:tblGrid>
      <w:tr>
        <w:trPr>
          <w:trHeight w:val="865" w:hRule="atLeast"/>
        </w:trPr>
        <w:tc>
          <w:tcPr>
            <w:tcW w:w="8852" w:type="dxa"/>
            <w:gridSpan w:val="4"/>
          </w:tcPr>
          <w:p>
            <w:pPr>
              <w:pStyle w:val="TableParagraph"/>
              <w:tabs>
                <w:tab w:pos="4497" w:val="left" w:leader="none"/>
              </w:tabs>
              <w:spacing w:before="2"/>
              <w:ind w:left="933"/>
              <w:rPr>
                <w:b/>
                <w:sz w:val="24"/>
              </w:rPr>
            </w:pPr>
            <w:r>
              <w:rPr>
                <w:b/>
                <w:color w:val="2A2A2A"/>
                <w:sz w:val="24"/>
              </w:rPr>
              <w:t>Case</w:t>
            </w:r>
            <w:r>
              <w:rPr>
                <w:b/>
                <w:color w:val="2A2A2A"/>
                <w:spacing w:val="-3"/>
                <w:sz w:val="24"/>
              </w:rPr>
              <w:t> </w:t>
            </w:r>
            <w:r>
              <w:rPr>
                <w:b/>
                <w:color w:val="2A2A2A"/>
                <w:sz w:val="24"/>
              </w:rPr>
              <w:t>Study</w:t>
            </w:r>
            <w:r>
              <w:rPr>
                <w:b/>
                <w:color w:val="2A2A2A"/>
                <w:spacing w:val="-4"/>
                <w:sz w:val="24"/>
              </w:rPr>
              <w:t> </w:t>
            </w:r>
            <w:r>
              <w:rPr>
                <w:b/>
                <w:color w:val="2A2A2A"/>
                <w:sz w:val="24"/>
              </w:rPr>
              <w:t>Design</w:t>
            </w:r>
            <w:r>
              <w:rPr>
                <w:b/>
                <w:color w:val="2A2A2A"/>
                <w:spacing w:val="-1"/>
                <w:sz w:val="24"/>
              </w:rPr>
              <w:t> </w:t>
            </w:r>
            <w:r>
              <w:rPr>
                <w:b/>
                <w:color w:val="2A2A2A"/>
                <w:sz w:val="24"/>
              </w:rPr>
              <w:t>Components</w:t>
              <w:tab/>
            </w:r>
            <w:r>
              <w:rPr>
                <w:b/>
                <w:color w:val="2A2A2A"/>
                <w:sz w:val="24"/>
              </w:rPr>
              <w:drawing>
                <wp:inline distT="0" distB="0" distL="0" distR="0">
                  <wp:extent cx="215900" cy="352551"/>
                  <wp:effectExtent l="0" t="0" r="0" b="0"/>
                  <wp:docPr id="1" name="image4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" name="image4.pn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5900" cy="35255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color w:val="2A2A2A"/>
                <w:sz w:val="24"/>
              </w:rPr>
            </w:r>
            <w:r>
              <w:rPr>
                <w:rFonts w:ascii="Times New Roman"/>
                <w:color w:val="2A2A2A"/>
                <w:sz w:val="24"/>
              </w:rPr>
              <w:t>       </w:t>
            </w:r>
            <w:r>
              <w:rPr>
                <w:rFonts w:ascii="Times New Roman"/>
                <w:color w:val="2A2A2A"/>
                <w:spacing w:val="11"/>
                <w:sz w:val="24"/>
              </w:rPr>
              <w:t> </w:t>
            </w:r>
            <w:r>
              <w:rPr>
                <w:b/>
                <w:color w:val="2A2A2A"/>
                <w:sz w:val="24"/>
              </w:rPr>
              <w:t>Application</w:t>
            </w:r>
            <w:r>
              <w:rPr>
                <w:b/>
                <w:color w:val="2A2A2A"/>
                <w:spacing w:val="-5"/>
                <w:sz w:val="24"/>
              </w:rPr>
              <w:t> </w:t>
            </w:r>
            <w:r>
              <w:rPr>
                <w:b/>
                <w:color w:val="2A2A2A"/>
                <w:sz w:val="24"/>
              </w:rPr>
              <w:t>to</w:t>
            </w:r>
            <w:r>
              <w:rPr>
                <w:b/>
                <w:color w:val="2A2A2A"/>
                <w:spacing w:val="-4"/>
                <w:sz w:val="24"/>
              </w:rPr>
              <w:t> </w:t>
            </w:r>
            <w:r>
              <w:rPr>
                <w:b/>
                <w:color w:val="2A2A2A"/>
                <w:sz w:val="24"/>
              </w:rPr>
              <w:t>the</w:t>
            </w:r>
            <w:r>
              <w:rPr>
                <w:b/>
                <w:color w:val="2A2A2A"/>
                <w:spacing w:val="-4"/>
                <w:sz w:val="24"/>
              </w:rPr>
              <w:t> </w:t>
            </w:r>
            <w:r>
              <w:rPr>
                <w:b/>
                <w:color w:val="2A2A2A"/>
                <w:sz w:val="24"/>
              </w:rPr>
              <w:t>Research</w:t>
            </w:r>
          </w:p>
        </w:tc>
        <w:tc>
          <w:tcPr>
            <w:tcW w:w="379" w:type="dxa"/>
            <w:gridSpan w:val="2"/>
            <w:tcBorders>
              <w:top w:val="nil"/>
              <w:bottom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818" w:hRule="atLeast"/>
        </w:trPr>
        <w:tc>
          <w:tcPr>
            <w:tcW w:w="259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4260" w:type="dxa"/>
          </w:tcPr>
          <w:p>
            <w:pPr>
              <w:pStyle w:val="TableParagraph"/>
              <w:spacing w:line="229" w:lineRule="exact"/>
              <w:ind w:left="873" w:right="1106"/>
              <w:jc w:val="center"/>
              <w:rPr>
                <w:b/>
                <w:sz w:val="22"/>
              </w:rPr>
            </w:pPr>
            <w:r>
              <w:rPr>
                <w:b/>
                <w:color w:val="2A2A2A"/>
                <w:sz w:val="22"/>
              </w:rPr>
              <w:t>Research</w:t>
            </w:r>
            <w:r>
              <w:rPr>
                <w:b/>
                <w:color w:val="2A2A2A"/>
                <w:spacing w:val="-3"/>
                <w:sz w:val="22"/>
              </w:rPr>
              <w:t> </w:t>
            </w:r>
            <w:r>
              <w:rPr>
                <w:b/>
                <w:color w:val="2A2A2A"/>
                <w:sz w:val="22"/>
              </w:rPr>
              <w:t>Question</w:t>
            </w:r>
          </w:p>
        </w:tc>
        <w:tc>
          <w:tcPr>
            <w:tcW w:w="23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4242" w:type="dxa"/>
            <w:gridSpan w:val="2"/>
          </w:tcPr>
          <w:p>
            <w:pPr>
              <w:pStyle w:val="TableParagraph"/>
              <w:spacing w:line="278" w:lineRule="auto"/>
              <w:ind w:left="108" w:right="226"/>
              <w:rPr>
                <w:sz w:val="22"/>
              </w:rPr>
            </w:pPr>
            <w:r>
              <w:rPr>
                <w:sz w:val="22"/>
              </w:rPr>
              <w:t>How does climate change disproportionally</w:t>
            </w:r>
            <w:r>
              <w:rPr>
                <w:spacing w:val="-47"/>
                <w:sz w:val="22"/>
              </w:rPr>
              <w:t> </w:t>
            </w:r>
            <w:r>
              <w:rPr>
                <w:sz w:val="22"/>
              </w:rPr>
              <w:t>affect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the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health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of the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urban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poor?</w:t>
            </w:r>
          </w:p>
        </w:tc>
        <w:tc>
          <w:tcPr>
            <w:tcW w:w="235" w:type="dxa"/>
            <w:tcBorders>
              <w:top w:val="nil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1261" w:hRule="atLeast"/>
        </w:trPr>
        <w:tc>
          <w:tcPr>
            <w:tcW w:w="259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4260" w:type="dxa"/>
          </w:tcPr>
          <w:p>
            <w:pPr>
              <w:pStyle w:val="TableParagraph"/>
              <w:spacing w:line="231" w:lineRule="exact"/>
              <w:ind w:left="854" w:right="1106"/>
              <w:jc w:val="center"/>
              <w:rPr>
                <w:b/>
                <w:sz w:val="22"/>
              </w:rPr>
            </w:pPr>
            <w:r>
              <w:rPr>
                <w:b/>
                <w:color w:val="2A2A2A"/>
                <w:sz w:val="22"/>
              </w:rPr>
              <w:t>Research</w:t>
            </w:r>
            <w:r>
              <w:rPr>
                <w:b/>
                <w:color w:val="2A2A2A"/>
                <w:spacing w:val="-6"/>
                <w:sz w:val="22"/>
              </w:rPr>
              <w:t> </w:t>
            </w:r>
            <w:r>
              <w:rPr>
                <w:b/>
                <w:color w:val="2A2A2A"/>
                <w:sz w:val="22"/>
              </w:rPr>
              <w:t>Hypothesis</w:t>
            </w:r>
          </w:p>
        </w:tc>
        <w:tc>
          <w:tcPr>
            <w:tcW w:w="23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4242" w:type="dxa"/>
            <w:gridSpan w:val="2"/>
          </w:tcPr>
          <w:p>
            <w:pPr>
              <w:pStyle w:val="TableParagraph"/>
              <w:spacing w:line="189" w:lineRule="auto" w:before="7"/>
              <w:ind w:left="108" w:right="201"/>
              <w:rPr>
                <w:sz w:val="22"/>
              </w:rPr>
            </w:pPr>
            <w:r>
              <w:rPr>
                <w:sz w:val="22"/>
              </w:rPr>
              <w:t>Because the urban poor don’t have the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infrastructure, access to care and resources</w:t>
            </w:r>
            <w:r>
              <w:rPr>
                <w:spacing w:val="-47"/>
                <w:sz w:val="22"/>
              </w:rPr>
              <w:t> </w:t>
            </w:r>
            <w:r>
              <w:rPr>
                <w:sz w:val="22"/>
              </w:rPr>
              <w:t>to deal with the effects of climate change,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they are more susceptible to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health risk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impacts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from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extreme events.</w:t>
            </w:r>
          </w:p>
        </w:tc>
        <w:tc>
          <w:tcPr>
            <w:tcW w:w="23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1319" w:hRule="atLeast"/>
        </w:trPr>
        <w:tc>
          <w:tcPr>
            <w:tcW w:w="259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4260" w:type="dxa"/>
          </w:tcPr>
          <w:p>
            <w:pPr>
              <w:pStyle w:val="TableParagraph"/>
              <w:spacing w:line="267" w:lineRule="exact"/>
              <w:ind w:left="887" w:right="1056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Primary</w:t>
            </w:r>
            <w:r>
              <w:rPr>
                <w:b/>
                <w:spacing w:val="-2"/>
                <w:sz w:val="22"/>
              </w:rPr>
              <w:t> </w:t>
            </w:r>
            <w:r>
              <w:rPr>
                <w:b/>
                <w:sz w:val="22"/>
              </w:rPr>
              <w:t>Data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b/>
                <w:sz w:val="22"/>
              </w:rPr>
              <w:t>Collection</w:t>
            </w:r>
          </w:p>
        </w:tc>
        <w:tc>
          <w:tcPr>
            <w:tcW w:w="23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4242" w:type="dxa"/>
            <w:gridSpan w:val="2"/>
          </w:tcPr>
          <w:p>
            <w:pPr>
              <w:pStyle w:val="TableParagraph"/>
              <w:spacing w:line="199" w:lineRule="auto" w:before="5"/>
              <w:ind w:left="108" w:right="125" w:firstLine="50"/>
              <w:rPr>
                <w:sz w:val="22"/>
              </w:rPr>
            </w:pPr>
            <w:r>
              <w:rPr>
                <w:sz w:val="22"/>
              </w:rPr>
              <w:t>Interviews of the impacted population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(telephonic or face-to-face),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Online surveys,</w:t>
            </w:r>
            <w:r>
              <w:rPr>
                <w:spacing w:val="-47"/>
                <w:sz w:val="22"/>
              </w:rPr>
              <w:t> </w:t>
            </w:r>
            <w:r>
              <w:rPr>
                <w:sz w:val="22"/>
              </w:rPr>
              <w:t>and focus groups bringing together people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who are experts in subject matter, for which</w:t>
            </w:r>
            <w:r>
              <w:rPr>
                <w:spacing w:val="-47"/>
                <w:sz w:val="22"/>
              </w:rPr>
              <w:t> </w:t>
            </w:r>
            <w:r>
              <w:rPr>
                <w:sz w:val="22"/>
              </w:rPr>
              <w:t>the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research is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being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conducted.</w:t>
            </w:r>
          </w:p>
        </w:tc>
        <w:tc>
          <w:tcPr>
            <w:tcW w:w="23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</w:tbl>
    <w:p>
      <w:pPr>
        <w:spacing w:after="0"/>
        <w:rPr>
          <w:rFonts w:ascii="Times New Roman"/>
          <w:sz w:val="22"/>
        </w:rPr>
        <w:sectPr>
          <w:pgSz w:w="12240" w:h="15840"/>
          <w:pgMar w:top="1340" w:bottom="280" w:left="1220" w:right="1180"/>
        </w:sectPr>
      </w:pPr>
    </w:p>
    <w:tbl>
      <w:tblPr>
        <w:tblW w:w="0" w:type="auto"/>
        <w:jc w:val="left"/>
        <w:tblInd w:w="122" w:type="dxa"/>
        <w:tblBorders>
          <w:top w:val="single" w:sz="8" w:space="0" w:color="4AACC5"/>
          <w:left w:val="single" w:sz="8" w:space="0" w:color="4AACC5"/>
          <w:bottom w:val="single" w:sz="8" w:space="0" w:color="4AACC5"/>
          <w:right w:val="single" w:sz="8" w:space="0" w:color="4AACC5"/>
          <w:insideH w:val="single" w:sz="8" w:space="0" w:color="4AACC5"/>
          <w:insideV w:val="single" w:sz="8" w:space="0" w:color="4AACC5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59"/>
        <w:gridCol w:w="4260"/>
        <w:gridCol w:w="235"/>
        <w:gridCol w:w="199"/>
        <w:gridCol w:w="4042"/>
        <w:gridCol w:w="235"/>
      </w:tblGrid>
      <w:tr>
        <w:trPr>
          <w:trHeight w:val="537" w:hRule="atLeast"/>
        </w:trPr>
        <w:tc>
          <w:tcPr>
            <w:tcW w:w="259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260" w:type="dxa"/>
          </w:tcPr>
          <w:p>
            <w:pPr>
              <w:pStyle w:val="TableParagraph"/>
              <w:spacing w:line="265" w:lineRule="exact"/>
              <w:ind w:left="809" w:right="1106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Analytical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sz w:val="22"/>
              </w:rPr>
              <w:t>Approach</w:t>
            </w:r>
          </w:p>
          <w:p>
            <w:pPr>
              <w:pStyle w:val="TableParagraph"/>
              <w:spacing w:line="251" w:lineRule="exact"/>
              <w:ind w:left="881" w:right="1106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Climate-Disease</w:t>
            </w:r>
            <w:r>
              <w:rPr>
                <w:b/>
                <w:spacing w:val="-8"/>
                <w:sz w:val="22"/>
              </w:rPr>
              <w:t> </w:t>
            </w:r>
            <w:r>
              <w:rPr>
                <w:b/>
                <w:sz w:val="22"/>
              </w:rPr>
              <w:t>Linkage</w:t>
            </w:r>
          </w:p>
        </w:tc>
        <w:tc>
          <w:tcPr>
            <w:tcW w:w="235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241" w:type="dxa"/>
            <w:gridSpan w:val="2"/>
            <w:vMerge w:val="restart"/>
          </w:tcPr>
          <w:p>
            <w:pPr>
              <w:pStyle w:val="TableParagraph"/>
              <w:ind w:left="108" w:right="103"/>
              <w:rPr>
                <w:sz w:val="22"/>
              </w:rPr>
            </w:pPr>
            <w:r>
              <w:rPr>
                <w:sz w:val="22"/>
              </w:rPr>
              <w:t>Observational studies of the relationship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between climate variations and health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outcomes. Past temporal patterns of climate</w:t>
            </w:r>
            <w:r>
              <w:rPr>
                <w:spacing w:val="-47"/>
                <w:sz w:val="22"/>
              </w:rPr>
              <w:t> </w:t>
            </w:r>
            <w:r>
              <w:rPr>
                <w:sz w:val="22"/>
              </w:rPr>
              <w:t>variability and disease as empirical analogs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of future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changes.</w:t>
            </w:r>
          </w:p>
          <w:p>
            <w:pPr>
              <w:pStyle w:val="TableParagraph"/>
              <w:ind w:left="108" w:right="173"/>
              <w:rPr>
                <w:sz w:val="22"/>
              </w:rPr>
            </w:pPr>
            <w:r>
              <w:rPr>
                <w:sz w:val="22"/>
              </w:rPr>
              <w:t>Using time-series analysis of fluctuations or</w:t>
            </w:r>
            <w:r>
              <w:rPr>
                <w:spacing w:val="-47"/>
                <w:sz w:val="22"/>
              </w:rPr>
              <w:t> </w:t>
            </w:r>
            <w:r>
              <w:rPr>
                <w:sz w:val="22"/>
              </w:rPr>
              <w:t>extremes in specific climate variables,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historical patterns are compared with those</w:t>
            </w:r>
            <w:r>
              <w:rPr>
                <w:spacing w:val="-47"/>
                <w:sz w:val="22"/>
              </w:rPr>
              <w:t> </w:t>
            </w:r>
            <w:r>
              <w:rPr>
                <w:sz w:val="22"/>
              </w:rPr>
              <w:t>of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ecosystem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and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population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changes,</w:t>
            </w:r>
            <w:r>
              <w:rPr>
                <w:spacing w:val="48"/>
                <w:sz w:val="22"/>
              </w:rPr>
              <w:t> </w:t>
            </w:r>
            <w:r>
              <w:rPr>
                <w:sz w:val="22"/>
              </w:rPr>
              <w:t>or</w:t>
            </w:r>
          </w:p>
          <w:p>
            <w:pPr>
              <w:pStyle w:val="TableParagraph"/>
              <w:spacing w:line="251" w:lineRule="exact"/>
              <w:ind w:left="108"/>
              <w:rPr>
                <w:sz w:val="22"/>
              </w:rPr>
            </w:pPr>
            <w:r>
              <w:rPr>
                <w:sz w:val="22"/>
              </w:rPr>
              <w:t>disease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outbreaks.</w:t>
            </w:r>
          </w:p>
        </w:tc>
        <w:tc>
          <w:tcPr>
            <w:tcW w:w="235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127" w:hRule="atLeast"/>
        </w:trPr>
        <w:tc>
          <w:tcPr>
            <w:tcW w:w="259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26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5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241" w:type="dxa"/>
            <w:gridSpan w:val="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35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884" w:hRule="atLeast"/>
        </w:trPr>
        <w:tc>
          <w:tcPr>
            <w:tcW w:w="259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260" w:type="dxa"/>
          </w:tcPr>
          <w:p>
            <w:pPr>
              <w:pStyle w:val="TableParagraph"/>
              <w:spacing w:line="267" w:lineRule="exact"/>
              <w:ind w:right="741"/>
              <w:jc w:val="right"/>
              <w:rPr>
                <w:b/>
                <w:sz w:val="22"/>
              </w:rPr>
            </w:pPr>
            <w:r>
              <w:rPr>
                <w:b/>
                <w:sz w:val="22"/>
              </w:rPr>
              <w:t>Secundary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z w:val="22"/>
              </w:rPr>
              <w:t>Data</w:t>
            </w:r>
            <w:r>
              <w:rPr>
                <w:b/>
                <w:spacing w:val="-8"/>
                <w:sz w:val="22"/>
              </w:rPr>
              <w:t> </w:t>
            </w:r>
            <w:r>
              <w:rPr>
                <w:b/>
                <w:sz w:val="22"/>
              </w:rPr>
              <w:t>Collection</w:t>
            </w:r>
          </w:p>
        </w:tc>
        <w:tc>
          <w:tcPr>
            <w:tcW w:w="235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241" w:type="dxa"/>
            <w:gridSpan w:val="2"/>
          </w:tcPr>
          <w:p>
            <w:pPr>
              <w:pStyle w:val="TableParagraph"/>
              <w:spacing w:line="204" w:lineRule="auto" w:before="1"/>
              <w:ind w:left="108" w:right="69"/>
              <w:rPr>
                <w:sz w:val="22"/>
              </w:rPr>
            </w:pPr>
            <w:r>
              <w:rPr>
                <w:color w:val="1F2023"/>
                <w:sz w:val="22"/>
              </w:rPr>
              <w:t>Books, journal articles, speeches, reviews,</w:t>
            </w:r>
            <w:r>
              <w:rPr>
                <w:color w:val="1F2023"/>
                <w:spacing w:val="1"/>
                <w:sz w:val="22"/>
              </w:rPr>
              <w:t> </w:t>
            </w:r>
            <w:r>
              <w:rPr>
                <w:color w:val="1F2023"/>
                <w:sz w:val="22"/>
              </w:rPr>
              <w:t>research reports, </w:t>
            </w:r>
            <w:r>
              <w:rPr>
                <w:sz w:val="22"/>
              </w:rPr>
              <w:t>checking the reference lists</w:t>
            </w:r>
            <w:r>
              <w:rPr>
                <w:spacing w:val="-47"/>
                <w:sz w:val="22"/>
              </w:rPr>
              <w:t> </w:t>
            </w:r>
            <w:r>
              <w:rPr>
                <w:sz w:val="22"/>
              </w:rPr>
              <w:t>of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identified primary studies.</w:t>
            </w:r>
          </w:p>
        </w:tc>
        <w:tc>
          <w:tcPr>
            <w:tcW w:w="235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508" w:hRule="atLeast"/>
        </w:trPr>
        <w:tc>
          <w:tcPr>
            <w:tcW w:w="259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260" w:type="dxa"/>
          </w:tcPr>
          <w:p>
            <w:pPr>
              <w:pStyle w:val="TableParagraph"/>
              <w:spacing w:line="227" w:lineRule="exact"/>
              <w:ind w:left="1543"/>
              <w:rPr>
                <w:b/>
                <w:sz w:val="22"/>
              </w:rPr>
            </w:pPr>
            <w:r>
              <w:rPr>
                <w:b/>
                <w:color w:val="2A2A2A"/>
                <w:sz w:val="22"/>
              </w:rPr>
              <w:t>Unit</w:t>
            </w:r>
            <w:r>
              <w:rPr>
                <w:b/>
                <w:color w:val="2A2A2A"/>
                <w:spacing w:val="-3"/>
                <w:sz w:val="22"/>
              </w:rPr>
              <w:t> </w:t>
            </w:r>
            <w:r>
              <w:rPr>
                <w:b/>
                <w:color w:val="2A2A2A"/>
                <w:sz w:val="22"/>
              </w:rPr>
              <w:t>of</w:t>
            </w:r>
            <w:r>
              <w:rPr>
                <w:b/>
                <w:color w:val="2A2A2A"/>
                <w:spacing w:val="-3"/>
                <w:sz w:val="22"/>
              </w:rPr>
              <w:t> </w:t>
            </w:r>
            <w:r>
              <w:rPr>
                <w:b/>
                <w:color w:val="2A2A2A"/>
                <w:sz w:val="22"/>
              </w:rPr>
              <w:t>Analysis</w:t>
            </w:r>
          </w:p>
        </w:tc>
        <w:tc>
          <w:tcPr>
            <w:tcW w:w="235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241" w:type="dxa"/>
            <w:gridSpan w:val="2"/>
          </w:tcPr>
          <w:p>
            <w:pPr>
              <w:pStyle w:val="TableParagraph"/>
              <w:spacing w:line="222" w:lineRule="exact"/>
              <w:ind w:left="108"/>
              <w:rPr>
                <w:sz w:val="22"/>
              </w:rPr>
            </w:pPr>
            <w:r>
              <w:rPr>
                <w:color w:val="2A2A2A"/>
                <w:sz w:val="22"/>
              </w:rPr>
              <w:t>Climate</w:t>
            </w:r>
            <w:r>
              <w:rPr>
                <w:color w:val="2A2A2A"/>
                <w:spacing w:val="52"/>
                <w:sz w:val="22"/>
              </w:rPr>
              <w:t> </w:t>
            </w:r>
            <w:r>
              <w:rPr>
                <w:color w:val="2A2A2A"/>
                <w:sz w:val="22"/>
              </w:rPr>
              <w:t>health</w:t>
            </w:r>
            <w:r>
              <w:rPr>
                <w:color w:val="2A2A2A"/>
                <w:spacing w:val="-1"/>
                <w:sz w:val="22"/>
              </w:rPr>
              <w:t> </w:t>
            </w:r>
            <w:r>
              <w:rPr>
                <w:color w:val="2A2A2A"/>
                <w:sz w:val="22"/>
              </w:rPr>
              <w:t>impacts</w:t>
            </w:r>
            <w:r>
              <w:rPr>
                <w:color w:val="2A2A2A"/>
                <w:spacing w:val="-3"/>
                <w:sz w:val="22"/>
              </w:rPr>
              <w:t> </w:t>
            </w:r>
            <w:r>
              <w:rPr>
                <w:color w:val="2A2A2A"/>
                <w:sz w:val="22"/>
              </w:rPr>
              <w:t>on</w:t>
            </w:r>
            <w:r>
              <w:rPr>
                <w:color w:val="2A2A2A"/>
                <w:spacing w:val="-4"/>
                <w:sz w:val="22"/>
              </w:rPr>
              <w:t> </w:t>
            </w:r>
            <w:r>
              <w:rPr>
                <w:color w:val="2A2A2A"/>
                <w:sz w:val="22"/>
              </w:rPr>
              <w:t>the urban</w:t>
            </w:r>
            <w:r>
              <w:rPr>
                <w:color w:val="2A2A2A"/>
                <w:spacing w:val="-1"/>
                <w:sz w:val="22"/>
              </w:rPr>
              <w:t> </w:t>
            </w:r>
            <w:r>
              <w:rPr>
                <w:color w:val="2A2A2A"/>
                <w:sz w:val="22"/>
              </w:rPr>
              <w:t>poor</w:t>
            </w:r>
          </w:p>
        </w:tc>
        <w:tc>
          <w:tcPr>
            <w:tcW w:w="235" w:type="dxa"/>
            <w:vMerge w:val="restart"/>
            <w:tcBorders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884" w:hRule="atLeast"/>
        </w:trPr>
        <w:tc>
          <w:tcPr>
            <w:tcW w:w="259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260" w:type="dxa"/>
          </w:tcPr>
          <w:p>
            <w:pPr>
              <w:pStyle w:val="TableParagraph"/>
              <w:spacing w:before="1"/>
              <w:ind w:right="628"/>
              <w:jc w:val="right"/>
              <w:rPr>
                <w:b/>
                <w:sz w:val="20"/>
              </w:rPr>
            </w:pPr>
            <w:r>
              <w:rPr>
                <w:b/>
                <w:color w:val="2A2A2A"/>
                <w:sz w:val="20"/>
              </w:rPr>
              <w:t>Data</w:t>
            </w:r>
            <w:r>
              <w:rPr>
                <w:b/>
                <w:color w:val="2A2A2A"/>
                <w:spacing w:val="-5"/>
                <w:sz w:val="20"/>
              </w:rPr>
              <w:t> </w:t>
            </w:r>
            <w:r>
              <w:rPr>
                <w:b/>
                <w:color w:val="2A2A2A"/>
                <w:sz w:val="20"/>
              </w:rPr>
              <w:t>Interpretation</w:t>
            </w:r>
            <w:r>
              <w:rPr>
                <w:b/>
                <w:color w:val="2A2A2A"/>
                <w:spacing w:val="-5"/>
                <w:sz w:val="20"/>
              </w:rPr>
              <w:t> </w:t>
            </w:r>
            <w:r>
              <w:rPr>
                <w:b/>
                <w:color w:val="2A2A2A"/>
                <w:sz w:val="20"/>
              </w:rPr>
              <w:t>Techniques</w:t>
            </w:r>
          </w:p>
        </w:tc>
        <w:tc>
          <w:tcPr>
            <w:tcW w:w="235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241" w:type="dxa"/>
            <w:gridSpan w:val="2"/>
            <w:tcBorders>
              <w:right w:val="nil"/>
            </w:tcBorders>
          </w:tcPr>
          <w:p>
            <w:pPr>
              <w:pStyle w:val="TableParagraph"/>
              <w:spacing w:line="204" w:lineRule="auto" w:before="1"/>
              <w:ind w:left="108" w:right="102"/>
              <w:rPr>
                <w:sz w:val="22"/>
              </w:rPr>
            </w:pPr>
            <w:r>
              <w:rPr>
                <w:color w:val="1F2023"/>
                <w:sz w:val="22"/>
              </w:rPr>
              <w:t>Explanation building in multiple case studies;</w:t>
            </w:r>
            <w:r>
              <w:rPr>
                <w:color w:val="1F2023"/>
                <w:spacing w:val="-47"/>
                <w:sz w:val="22"/>
              </w:rPr>
              <w:t> </w:t>
            </w:r>
            <w:r>
              <w:rPr>
                <w:color w:val="1F2023"/>
                <w:sz w:val="22"/>
              </w:rPr>
              <w:t>cross</w:t>
            </w:r>
            <w:r>
              <w:rPr>
                <w:color w:val="1F2023"/>
                <w:spacing w:val="4"/>
                <w:sz w:val="22"/>
              </w:rPr>
              <w:t> </w:t>
            </w:r>
            <w:r>
              <w:rPr>
                <w:color w:val="1F2023"/>
                <w:sz w:val="22"/>
              </w:rPr>
              <w:t>case</w:t>
            </w:r>
            <w:r>
              <w:rPr>
                <w:color w:val="1F2023"/>
                <w:spacing w:val="5"/>
                <w:sz w:val="22"/>
              </w:rPr>
              <w:t> </w:t>
            </w:r>
            <w:r>
              <w:rPr>
                <w:color w:val="1F2023"/>
                <w:sz w:val="22"/>
              </w:rPr>
              <w:t>synthesisi</w:t>
            </w:r>
            <w:r>
              <w:rPr>
                <w:color w:val="1F2023"/>
                <w:spacing w:val="7"/>
                <w:sz w:val="22"/>
              </w:rPr>
              <w:t> </w:t>
            </w:r>
            <w:r>
              <w:rPr>
                <w:color w:val="1F2023"/>
                <w:sz w:val="22"/>
              </w:rPr>
              <w:t>and</w:t>
            </w:r>
            <w:r>
              <w:rPr>
                <w:color w:val="1F2023"/>
                <w:spacing w:val="5"/>
                <w:sz w:val="22"/>
              </w:rPr>
              <w:t> </w:t>
            </w:r>
            <w:r>
              <w:rPr>
                <w:color w:val="1F2023"/>
                <w:sz w:val="22"/>
              </w:rPr>
              <w:t>complex</w:t>
            </w:r>
            <w:r>
              <w:rPr>
                <w:color w:val="1F2023"/>
                <w:spacing w:val="6"/>
                <w:sz w:val="22"/>
              </w:rPr>
              <w:t> </w:t>
            </w:r>
            <w:r>
              <w:rPr>
                <w:color w:val="1F2023"/>
                <w:sz w:val="22"/>
              </w:rPr>
              <w:t>time</w:t>
            </w:r>
            <w:r>
              <w:rPr>
                <w:color w:val="1F2023"/>
                <w:spacing w:val="1"/>
                <w:sz w:val="22"/>
              </w:rPr>
              <w:t> </w:t>
            </w:r>
            <w:r>
              <w:rPr>
                <w:color w:val="1F2023"/>
                <w:sz w:val="22"/>
              </w:rPr>
              <w:t>series</w:t>
            </w:r>
            <w:r>
              <w:rPr>
                <w:color w:val="1F2023"/>
                <w:spacing w:val="-3"/>
                <w:sz w:val="22"/>
              </w:rPr>
              <w:t> </w:t>
            </w:r>
            <w:r>
              <w:rPr>
                <w:color w:val="1F2023"/>
                <w:sz w:val="22"/>
              </w:rPr>
              <w:t>(Yin.</w:t>
            </w:r>
            <w:r>
              <w:rPr>
                <w:color w:val="1F2023"/>
                <w:spacing w:val="-1"/>
                <w:sz w:val="22"/>
              </w:rPr>
              <w:t> </w:t>
            </w:r>
            <w:r>
              <w:rPr>
                <w:color w:val="1F2023"/>
                <w:sz w:val="22"/>
              </w:rPr>
              <w:t>2009).</w:t>
            </w:r>
          </w:p>
        </w:tc>
        <w:tc>
          <w:tcPr>
            <w:tcW w:w="235" w:type="dxa"/>
            <w:vMerge/>
            <w:tcBorders>
              <w:top w:val="nil"/>
              <w:left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599" w:hRule="atLeast"/>
        </w:trPr>
        <w:tc>
          <w:tcPr>
            <w:tcW w:w="259" w:type="dxa"/>
            <w:vMerge w:val="restart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260" w:type="dxa"/>
            <w:tcBorders>
              <w:bottom w:val="nil"/>
            </w:tcBorders>
          </w:tcPr>
          <w:p>
            <w:pPr>
              <w:pStyle w:val="TableParagraph"/>
              <w:spacing w:line="221" w:lineRule="exact"/>
              <w:ind w:right="704"/>
              <w:jc w:val="right"/>
              <w:rPr>
                <w:b/>
                <w:sz w:val="20"/>
              </w:rPr>
            </w:pPr>
            <w:r>
              <w:rPr>
                <w:b/>
                <w:color w:val="2A2A2A"/>
                <w:sz w:val="20"/>
              </w:rPr>
              <w:t>Criteria</w:t>
            </w:r>
            <w:r>
              <w:rPr>
                <w:b/>
                <w:color w:val="2A2A2A"/>
                <w:spacing w:val="-6"/>
                <w:sz w:val="20"/>
              </w:rPr>
              <w:t> </w:t>
            </w:r>
            <w:r>
              <w:rPr>
                <w:b/>
                <w:color w:val="2A2A2A"/>
                <w:sz w:val="20"/>
              </w:rPr>
              <w:t>for</w:t>
            </w:r>
            <w:r>
              <w:rPr>
                <w:b/>
                <w:color w:val="2A2A2A"/>
                <w:spacing w:val="-4"/>
                <w:sz w:val="20"/>
              </w:rPr>
              <w:t> </w:t>
            </w:r>
            <w:r>
              <w:rPr>
                <w:b/>
                <w:color w:val="2A2A2A"/>
                <w:sz w:val="20"/>
              </w:rPr>
              <w:t>Interpreting</w:t>
            </w:r>
            <w:r>
              <w:rPr>
                <w:b/>
                <w:color w:val="2A2A2A"/>
                <w:spacing w:val="-5"/>
                <w:sz w:val="20"/>
              </w:rPr>
              <w:t> </w:t>
            </w:r>
            <w:r>
              <w:rPr>
                <w:b/>
                <w:color w:val="2A2A2A"/>
                <w:sz w:val="20"/>
              </w:rPr>
              <w:t>Data</w:t>
            </w:r>
          </w:p>
        </w:tc>
        <w:tc>
          <w:tcPr>
            <w:tcW w:w="235" w:type="dxa"/>
            <w:vMerge w:val="restart"/>
            <w:tcBorders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241" w:type="dxa"/>
            <w:gridSpan w:val="2"/>
            <w:tcBorders>
              <w:bottom w:val="nil"/>
              <w:right w:val="nil"/>
            </w:tcBorders>
          </w:tcPr>
          <w:p>
            <w:pPr>
              <w:pStyle w:val="TableParagraph"/>
              <w:spacing w:line="182" w:lineRule="auto" w:before="3"/>
              <w:ind w:left="108" w:right="195" w:firstLine="300"/>
              <w:rPr>
                <w:sz w:val="22"/>
              </w:rPr>
            </w:pPr>
            <w:r>
              <w:rPr>
                <w:sz w:val="22"/>
              </w:rPr>
              <w:t>Construct validity, internal validity,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external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validity,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and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relaiability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(Yin,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2009).</w:t>
            </w:r>
          </w:p>
        </w:tc>
        <w:tc>
          <w:tcPr>
            <w:tcW w:w="235" w:type="dxa"/>
            <w:vMerge/>
            <w:tcBorders>
              <w:top w:val="nil"/>
              <w:left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500" w:hRule="atLeast"/>
        </w:trPr>
        <w:tc>
          <w:tcPr>
            <w:tcW w:w="25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260" w:type="dxa"/>
            <w:tcBorders>
              <w:top w:val="nil"/>
              <w:left w:val="single" w:sz="4" w:space="0" w:color="000000"/>
            </w:tcBorders>
          </w:tcPr>
          <w:p>
            <w:pPr>
              <w:pStyle w:val="TableParagraph"/>
              <w:spacing w:line="212" w:lineRule="exact"/>
              <w:ind w:left="1541"/>
              <w:rPr>
                <w:b/>
                <w:sz w:val="20"/>
              </w:rPr>
            </w:pPr>
            <w:r>
              <w:rPr>
                <w:b/>
                <w:sz w:val="20"/>
              </w:rPr>
              <w:t>Physical</w:t>
            </w:r>
            <w:r>
              <w:rPr>
                <w:b/>
                <w:spacing w:val="-6"/>
                <w:sz w:val="20"/>
              </w:rPr>
              <w:t> </w:t>
            </w:r>
            <w:r>
              <w:rPr>
                <w:b/>
                <w:sz w:val="20"/>
              </w:rPr>
              <w:t>artifacts</w:t>
            </w:r>
          </w:p>
        </w:tc>
        <w:tc>
          <w:tcPr>
            <w:tcW w:w="235" w:type="dxa"/>
            <w:vMerge/>
            <w:tcBorders>
              <w:top w:val="nil"/>
              <w:left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9" w:type="dxa"/>
            <w:tcBorders>
              <w:top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042" w:type="dxa"/>
            <w:tcBorders>
              <w:top w:val="nil"/>
              <w:left w:val="single" w:sz="4" w:space="0" w:color="000000"/>
              <w:right w:val="nil"/>
            </w:tcBorders>
          </w:tcPr>
          <w:p>
            <w:pPr>
              <w:pStyle w:val="TableParagraph"/>
              <w:spacing w:line="212" w:lineRule="exact"/>
              <w:ind w:left="195"/>
              <w:rPr>
                <w:sz w:val="22"/>
              </w:rPr>
            </w:pPr>
            <w:r>
              <w:rPr>
                <w:color w:val="2A2A2A"/>
                <w:sz w:val="22"/>
              </w:rPr>
              <w:t>Articles,</w:t>
            </w:r>
            <w:r>
              <w:rPr>
                <w:color w:val="2A2A2A"/>
                <w:spacing w:val="-3"/>
                <w:sz w:val="22"/>
              </w:rPr>
              <w:t> </w:t>
            </w:r>
            <w:r>
              <w:rPr>
                <w:color w:val="2A2A2A"/>
                <w:sz w:val="22"/>
              </w:rPr>
              <w:t>online</w:t>
            </w:r>
            <w:r>
              <w:rPr>
                <w:color w:val="2A2A2A"/>
                <w:spacing w:val="1"/>
                <w:sz w:val="22"/>
              </w:rPr>
              <w:t> </w:t>
            </w:r>
            <w:r>
              <w:rPr>
                <w:color w:val="2A2A2A"/>
                <w:sz w:val="22"/>
              </w:rPr>
              <w:t>research documents</w:t>
            </w:r>
          </w:p>
        </w:tc>
        <w:tc>
          <w:tcPr>
            <w:tcW w:w="235" w:type="dxa"/>
            <w:vMerge/>
            <w:tcBorders>
              <w:top w:val="nil"/>
              <w:left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</w:tbl>
    <w:p>
      <w:pPr>
        <w:spacing w:before="5"/>
        <w:ind w:left="220" w:right="0" w:firstLine="0"/>
        <w:jc w:val="left"/>
        <w:rPr>
          <w:rFonts w:ascii="Calibri"/>
          <w:sz w:val="20"/>
        </w:rPr>
      </w:pPr>
      <w:r>
        <w:rPr/>
        <w:pict>
          <v:rect style="position:absolute;margin-left:309.769989pt;margin-top:217.100006pt;width:79.224pt;height:13.56pt;mso-position-horizontal-relative:page;mso-position-vertical-relative:page;z-index:-16304640" id="docshape184" filled="true" fillcolor="#ffffff" stroked="false">
            <v:fill type="solid"/>
            <w10:wrap type="none"/>
          </v:rect>
        </w:pict>
      </w:r>
      <w:r>
        <w:rPr/>
        <w:pict>
          <v:shape style="position:absolute;margin-left:309.77002pt;margin-top:-92.228531pt;width:173.95pt;height:25.1pt;mso-position-horizontal-relative:page;mso-position-vertical-relative:paragraph;z-index:-16304128" id="docshape185" coordorigin="6195,-1845" coordsize="3479,502" path="m9674,-1845l6195,-1845,6195,-1614,6195,-1573,6195,-1343,7780,-1343,7780,-1573,9674,-1573,9674,-1845xe" filled="true" fillcolor="#ffffff" stroked="false">
            <v:path arrowok="t"/>
            <v:fill type="solid"/>
            <w10:wrap type="none"/>
          </v:shape>
        </w:pict>
      </w:r>
      <w:r>
        <w:rPr>
          <w:rFonts w:ascii="Calibri"/>
          <w:b/>
          <w:sz w:val="20"/>
        </w:rPr>
        <w:t>Table</w:t>
      </w:r>
      <w:r>
        <w:rPr>
          <w:rFonts w:ascii="Calibri"/>
          <w:b/>
          <w:spacing w:val="-3"/>
          <w:sz w:val="20"/>
        </w:rPr>
        <w:t> </w:t>
      </w:r>
      <w:r>
        <w:rPr>
          <w:rFonts w:ascii="Calibri"/>
          <w:b/>
          <w:sz w:val="20"/>
        </w:rPr>
        <w:t>1.1</w:t>
      </w:r>
      <w:r>
        <w:rPr>
          <w:rFonts w:ascii="Calibri"/>
          <w:b/>
          <w:spacing w:val="42"/>
          <w:sz w:val="20"/>
        </w:rPr>
        <w:t> </w:t>
      </w:r>
      <w:r>
        <w:rPr>
          <w:rFonts w:ascii="Calibri"/>
          <w:sz w:val="20"/>
        </w:rPr>
        <w:t>Case</w:t>
      </w:r>
      <w:r>
        <w:rPr>
          <w:rFonts w:ascii="Calibri"/>
          <w:spacing w:val="-4"/>
          <w:sz w:val="20"/>
        </w:rPr>
        <w:t> </w:t>
      </w:r>
      <w:r>
        <w:rPr>
          <w:rFonts w:ascii="Calibri"/>
          <w:sz w:val="20"/>
        </w:rPr>
        <w:t>Study</w:t>
      </w:r>
      <w:r>
        <w:rPr>
          <w:rFonts w:ascii="Calibri"/>
          <w:spacing w:val="-2"/>
          <w:sz w:val="20"/>
        </w:rPr>
        <w:t> </w:t>
      </w:r>
      <w:r>
        <w:rPr>
          <w:rFonts w:ascii="Calibri"/>
          <w:sz w:val="20"/>
        </w:rPr>
        <w:t>Design</w:t>
      </w:r>
    </w:p>
    <w:p>
      <w:pPr>
        <w:pStyle w:val="BodyText"/>
        <w:ind w:left="0"/>
        <w:rPr>
          <w:rFonts w:ascii="Calibri"/>
          <w:sz w:val="20"/>
        </w:rPr>
      </w:pPr>
    </w:p>
    <w:p>
      <w:pPr>
        <w:pStyle w:val="BodyText"/>
        <w:ind w:left="0"/>
        <w:rPr>
          <w:rFonts w:ascii="Calibri"/>
          <w:sz w:val="20"/>
        </w:rPr>
      </w:pPr>
    </w:p>
    <w:p>
      <w:pPr>
        <w:pStyle w:val="BodyText"/>
        <w:ind w:left="0"/>
        <w:rPr>
          <w:rFonts w:ascii="Calibri"/>
          <w:sz w:val="20"/>
        </w:rPr>
      </w:pPr>
    </w:p>
    <w:p>
      <w:pPr>
        <w:pStyle w:val="BodyText"/>
        <w:ind w:left="0"/>
        <w:rPr>
          <w:rFonts w:ascii="Calibri"/>
          <w:sz w:val="20"/>
        </w:rPr>
      </w:pPr>
    </w:p>
    <w:p>
      <w:pPr>
        <w:pStyle w:val="BodyText"/>
        <w:ind w:left="0"/>
        <w:rPr>
          <w:rFonts w:ascii="Calibri"/>
          <w:sz w:val="20"/>
        </w:rPr>
      </w:pPr>
    </w:p>
    <w:p>
      <w:pPr>
        <w:pStyle w:val="BodyText"/>
        <w:ind w:left="0"/>
        <w:rPr>
          <w:rFonts w:ascii="Calibri"/>
          <w:sz w:val="20"/>
        </w:rPr>
      </w:pPr>
    </w:p>
    <w:p>
      <w:pPr>
        <w:pStyle w:val="BodyText"/>
        <w:spacing w:before="3"/>
        <w:ind w:left="0"/>
        <w:rPr>
          <w:rFonts w:ascii="Calibri"/>
          <w:sz w:val="26"/>
        </w:rPr>
      </w:pPr>
    </w:p>
    <w:tbl>
      <w:tblPr>
        <w:tblW w:w="0" w:type="auto"/>
        <w:jc w:val="left"/>
        <w:tblInd w:w="23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989"/>
        <w:gridCol w:w="6922"/>
      </w:tblGrid>
      <w:tr>
        <w:trPr>
          <w:trHeight w:val="1026" w:hRule="atLeast"/>
        </w:trPr>
        <w:tc>
          <w:tcPr>
            <w:tcW w:w="1989" w:type="dxa"/>
            <w:tcBorders>
              <w:bottom w:val="single" w:sz="8" w:space="0" w:color="F9BE8F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922" w:type="dxa"/>
            <w:tcBorders>
              <w:bottom w:val="single" w:sz="8" w:space="0" w:color="F9BE8F"/>
            </w:tcBorders>
          </w:tcPr>
          <w:p>
            <w:pPr>
              <w:pStyle w:val="TableParagraph"/>
              <w:spacing w:line="244" w:lineRule="exact"/>
              <w:ind w:left="2763"/>
              <w:rPr>
                <w:b/>
                <w:sz w:val="24"/>
              </w:rPr>
            </w:pPr>
            <w:r>
              <w:rPr>
                <w:b/>
                <w:sz w:val="24"/>
              </w:rPr>
              <w:t>Sources</w:t>
            </w:r>
            <w:r>
              <w:rPr>
                <w:b/>
                <w:spacing w:val="-4"/>
                <w:sz w:val="24"/>
              </w:rPr>
              <w:t> </w:t>
            </w:r>
            <w:r>
              <w:rPr>
                <w:b/>
                <w:sz w:val="24"/>
              </w:rPr>
              <w:t>of Evidence</w:t>
            </w:r>
          </w:p>
        </w:tc>
      </w:tr>
      <w:tr>
        <w:trPr>
          <w:trHeight w:val="378" w:hRule="atLeast"/>
        </w:trPr>
        <w:tc>
          <w:tcPr>
            <w:tcW w:w="1989" w:type="dxa"/>
            <w:tcBorders>
              <w:top w:val="single" w:sz="8" w:space="0" w:color="F9BE8F"/>
              <w:left w:val="single" w:sz="8" w:space="0" w:color="F9BE8F"/>
            </w:tcBorders>
          </w:tcPr>
          <w:p>
            <w:pPr>
              <w:pStyle w:val="TableParagraph"/>
              <w:spacing w:before="1"/>
              <w:ind w:left="129"/>
              <w:rPr>
                <w:b/>
                <w:sz w:val="20"/>
              </w:rPr>
            </w:pPr>
            <w:r>
              <w:rPr>
                <w:b/>
                <w:sz w:val="20"/>
              </w:rPr>
              <w:t>Source</w:t>
            </w:r>
          </w:p>
        </w:tc>
        <w:tc>
          <w:tcPr>
            <w:tcW w:w="6922" w:type="dxa"/>
            <w:tcBorders>
              <w:top w:val="single" w:sz="8" w:space="0" w:color="F9BE8F"/>
              <w:right w:val="single" w:sz="8" w:space="0" w:color="F9BE8F"/>
            </w:tcBorders>
          </w:tcPr>
          <w:p>
            <w:pPr>
              <w:pStyle w:val="TableParagraph"/>
              <w:spacing w:before="1"/>
              <w:ind w:left="2798" w:right="249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Evidence</w:t>
            </w:r>
          </w:p>
        </w:tc>
      </w:tr>
      <w:tr>
        <w:trPr>
          <w:trHeight w:val="469" w:hRule="atLeast"/>
        </w:trPr>
        <w:tc>
          <w:tcPr>
            <w:tcW w:w="1989" w:type="dxa"/>
            <w:tcBorders>
              <w:left w:val="single" w:sz="8" w:space="0" w:color="F9BE8F"/>
            </w:tcBorders>
          </w:tcPr>
          <w:p>
            <w:pPr>
              <w:pStyle w:val="TableParagraph"/>
              <w:spacing w:before="95"/>
              <w:ind w:left="129"/>
              <w:rPr>
                <w:b/>
                <w:sz w:val="20"/>
              </w:rPr>
            </w:pPr>
            <w:r>
              <w:rPr>
                <w:b/>
                <w:sz w:val="20"/>
              </w:rPr>
              <w:t>Documentation:</w:t>
            </w:r>
          </w:p>
        </w:tc>
        <w:tc>
          <w:tcPr>
            <w:tcW w:w="6922" w:type="dxa"/>
            <w:tcBorders>
              <w:right w:val="single" w:sz="8" w:space="0" w:color="F9BE8F"/>
            </w:tcBorders>
          </w:tcPr>
          <w:p>
            <w:pPr>
              <w:pStyle w:val="TableParagraph"/>
              <w:spacing w:before="95"/>
              <w:ind w:left="1791"/>
              <w:rPr>
                <w:sz w:val="20"/>
              </w:rPr>
            </w:pPr>
            <w:r>
              <w:rPr>
                <w:sz w:val="20"/>
              </w:rPr>
              <w:t>Scientific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reports,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data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reports,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articles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and</w:t>
            </w:r>
          </w:p>
        </w:tc>
      </w:tr>
      <w:tr>
        <w:trPr>
          <w:trHeight w:val="465" w:hRule="atLeast"/>
        </w:trPr>
        <w:tc>
          <w:tcPr>
            <w:tcW w:w="1989" w:type="dxa"/>
            <w:tcBorders>
              <w:left w:val="single" w:sz="8" w:space="0" w:color="F9BE8F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922" w:type="dxa"/>
            <w:tcBorders>
              <w:right w:val="single" w:sz="8" w:space="0" w:color="F9BE8F"/>
            </w:tcBorders>
          </w:tcPr>
          <w:p>
            <w:pPr>
              <w:pStyle w:val="TableParagraph"/>
              <w:spacing w:before="92"/>
              <w:ind w:left="1791"/>
              <w:rPr>
                <w:sz w:val="20"/>
              </w:rPr>
            </w:pPr>
            <w:r>
              <w:rPr>
                <w:sz w:val="20"/>
              </w:rPr>
              <w:t>documentation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regarding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public</w:t>
            </w:r>
            <w:r>
              <w:rPr>
                <w:spacing w:val="42"/>
                <w:sz w:val="20"/>
              </w:rPr>
              <w:t> </w:t>
            </w:r>
            <w:r>
              <w:rPr>
                <w:sz w:val="20"/>
              </w:rPr>
              <w:t>health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reports,</w:t>
            </w:r>
          </w:p>
        </w:tc>
      </w:tr>
      <w:tr>
        <w:trPr>
          <w:trHeight w:val="446" w:hRule="atLeast"/>
        </w:trPr>
        <w:tc>
          <w:tcPr>
            <w:tcW w:w="1989" w:type="dxa"/>
            <w:tcBorders>
              <w:left w:val="single" w:sz="8" w:space="0" w:color="F9BE8F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922" w:type="dxa"/>
            <w:tcBorders>
              <w:right w:val="single" w:sz="8" w:space="0" w:color="F9BE8F"/>
            </w:tcBorders>
          </w:tcPr>
          <w:p>
            <w:pPr>
              <w:pStyle w:val="TableParagraph"/>
              <w:spacing w:before="92"/>
              <w:ind w:left="1837"/>
              <w:rPr>
                <w:sz w:val="20"/>
              </w:rPr>
            </w:pPr>
            <w:r>
              <w:rPr>
                <w:sz w:val="20"/>
              </w:rPr>
              <w:t>urban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populations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and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major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cities.</w:t>
            </w:r>
          </w:p>
        </w:tc>
      </w:tr>
      <w:tr>
        <w:trPr>
          <w:trHeight w:val="446" w:hRule="atLeast"/>
        </w:trPr>
        <w:tc>
          <w:tcPr>
            <w:tcW w:w="1989" w:type="dxa"/>
            <w:tcBorders>
              <w:left w:val="single" w:sz="8" w:space="0" w:color="F9BE8F"/>
            </w:tcBorders>
          </w:tcPr>
          <w:p>
            <w:pPr>
              <w:pStyle w:val="TableParagraph"/>
              <w:spacing w:before="73"/>
              <w:ind w:left="129"/>
              <w:rPr>
                <w:b/>
                <w:sz w:val="20"/>
              </w:rPr>
            </w:pPr>
            <w:r>
              <w:rPr>
                <w:b/>
                <w:sz w:val="20"/>
              </w:rPr>
              <w:t>Archival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b/>
                <w:sz w:val="20"/>
              </w:rPr>
              <w:t>Records:</w:t>
            </w:r>
          </w:p>
        </w:tc>
        <w:tc>
          <w:tcPr>
            <w:tcW w:w="6922" w:type="dxa"/>
            <w:tcBorders>
              <w:right w:val="single" w:sz="8" w:space="0" w:color="F9BE8F"/>
            </w:tcBorders>
          </w:tcPr>
          <w:p>
            <w:pPr>
              <w:pStyle w:val="TableParagraph"/>
              <w:tabs>
                <w:tab w:pos="1392" w:val="left" w:leader="none"/>
              </w:tabs>
              <w:spacing w:before="73"/>
              <w:ind w:right="1023"/>
              <w:jc w:val="right"/>
              <w:rPr>
                <w:sz w:val="20"/>
              </w:rPr>
            </w:pPr>
            <w:r>
              <w:rPr>
                <w:sz w:val="20"/>
              </w:rPr>
              <w:t>\</w:t>
              <w:tab/>
              <w:t>Records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of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different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cases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of</w:t>
            </w:r>
            <w:r>
              <w:rPr>
                <w:spacing w:val="42"/>
                <w:sz w:val="20"/>
              </w:rPr>
              <w:t> </w:t>
            </w:r>
            <w:r>
              <w:rPr>
                <w:sz w:val="20"/>
              </w:rPr>
              <w:t>health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issues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caused</w:t>
            </w:r>
          </w:p>
        </w:tc>
      </w:tr>
      <w:tr>
        <w:trPr>
          <w:trHeight w:val="445" w:hRule="atLeast"/>
        </w:trPr>
        <w:tc>
          <w:tcPr>
            <w:tcW w:w="1989" w:type="dxa"/>
            <w:tcBorders>
              <w:left w:val="single" w:sz="8" w:space="0" w:color="F9BE8F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922" w:type="dxa"/>
            <w:tcBorders>
              <w:right w:val="single" w:sz="8" w:space="0" w:color="F9BE8F"/>
            </w:tcBorders>
          </w:tcPr>
          <w:p>
            <w:pPr>
              <w:pStyle w:val="TableParagraph"/>
              <w:spacing w:before="92"/>
              <w:ind w:left="1837"/>
              <w:rPr>
                <w:sz w:val="20"/>
              </w:rPr>
            </w:pPr>
            <w:r>
              <w:rPr>
                <w:sz w:val="20"/>
              </w:rPr>
              <w:t>by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climate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change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among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the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urban poor.</w:t>
            </w:r>
          </w:p>
        </w:tc>
      </w:tr>
      <w:tr>
        <w:trPr>
          <w:trHeight w:val="445" w:hRule="atLeast"/>
        </w:trPr>
        <w:tc>
          <w:tcPr>
            <w:tcW w:w="1989" w:type="dxa"/>
            <w:tcBorders>
              <w:left w:val="single" w:sz="8" w:space="0" w:color="F9BE8F"/>
            </w:tcBorders>
          </w:tcPr>
          <w:p>
            <w:pPr>
              <w:pStyle w:val="TableParagraph"/>
              <w:spacing w:before="71"/>
              <w:ind w:left="129"/>
              <w:rPr>
                <w:b/>
                <w:sz w:val="20"/>
              </w:rPr>
            </w:pPr>
            <w:r>
              <w:rPr>
                <w:b/>
                <w:sz w:val="20"/>
              </w:rPr>
              <w:t>Interviews:</w:t>
            </w:r>
          </w:p>
        </w:tc>
        <w:tc>
          <w:tcPr>
            <w:tcW w:w="6922" w:type="dxa"/>
            <w:tcBorders>
              <w:right w:val="single" w:sz="8" w:space="0" w:color="F9BE8F"/>
            </w:tcBorders>
          </w:tcPr>
          <w:p>
            <w:pPr>
              <w:pStyle w:val="TableParagraph"/>
              <w:spacing w:before="71"/>
              <w:ind w:left="1837"/>
              <w:rPr>
                <w:sz w:val="20"/>
              </w:rPr>
            </w:pPr>
            <w:r>
              <w:rPr>
                <w:sz w:val="20"/>
              </w:rPr>
              <w:t>Interviews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with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key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researchers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and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leaders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in</w:t>
            </w:r>
          </w:p>
        </w:tc>
      </w:tr>
      <w:tr>
        <w:trPr>
          <w:trHeight w:val="466" w:hRule="atLeast"/>
        </w:trPr>
        <w:tc>
          <w:tcPr>
            <w:tcW w:w="1989" w:type="dxa"/>
            <w:tcBorders>
              <w:left w:val="single" w:sz="8" w:space="0" w:color="F9BE8F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922" w:type="dxa"/>
            <w:tcBorders>
              <w:right w:val="single" w:sz="8" w:space="0" w:color="F9BE8F"/>
            </w:tcBorders>
          </w:tcPr>
          <w:p>
            <w:pPr>
              <w:pStyle w:val="TableParagraph"/>
              <w:spacing w:before="92"/>
              <w:ind w:left="1837"/>
              <w:rPr>
                <w:sz w:val="20"/>
              </w:rPr>
            </w:pPr>
            <w:r>
              <w:rPr>
                <w:sz w:val="20"/>
              </w:rPr>
              <w:t>climate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change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and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public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urban</w:t>
            </w:r>
            <w:r>
              <w:rPr>
                <w:spacing w:val="43"/>
                <w:sz w:val="20"/>
              </w:rPr>
              <w:t> </w:t>
            </w:r>
            <w:r>
              <w:rPr>
                <w:sz w:val="20"/>
              </w:rPr>
              <w:t>health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will</w:t>
            </w:r>
          </w:p>
        </w:tc>
      </w:tr>
      <w:tr>
        <w:trPr>
          <w:trHeight w:val="468" w:hRule="atLeast"/>
        </w:trPr>
        <w:tc>
          <w:tcPr>
            <w:tcW w:w="1989" w:type="dxa"/>
            <w:tcBorders>
              <w:left w:val="single" w:sz="8" w:space="0" w:color="F9BE8F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922" w:type="dxa"/>
            <w:tcBorders>
              <w:right w:val="single" w:sz="8" w:space="0" w:color="F9BE8F"/>
            </w:tcBorders>
          </w:tcPr>
          <w:p>
            <w:pPr>
              <w:pStyle w:val="TableParagraph"/>
              <w:spacing w:before="93"/>
              <w:ind w:right="1059"/>
              <w:jc w:val="right"/>
              <w:rPr>
                <w:sz w:val="20"/>
              </w:rPr>
            </w:pPr>
            <w:r>
              <w:rPr>
                <w:sz w:val="20"/>
              </w:rPr>
              <w:t>supplement</w:t>
            </w:r>
            <w:r>
              <w:rPr>
                <w:spacing w:val="38"/>
                <w:sz w:val="20"/>
              </w:rPr>
              <w:t> </w:t>
            </w:r>
            <w:r>
              <w:rPr>
                <w:sz w:val="20"/>
              </w:rPr>
              <w:t>documentation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and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support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archival</w:t>
            </w:r>
          </w:p>
        </w:tc>
      </w:tr>
      <w:tr>
        <w:trPr>
          <w:trHeight w:val="526" w:hRule="atLeast"/>
        </w:trPr>
        <w:tc>
          <w:tcPr>
            <w:tcW w:w="1989" w:type="dxa"/>
            <w:tcBorders>
              <w:left w:val="single" w:sz="8" w:space="0" w:color="F9BE8F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922" w:type="dxa"/>
            <w:tcBorders>
              <w:right w:val="single" w:sz="8" w:space="0" w:color="F9BE8F"/>
            </w:tcBorders>
          </w:tcPr>
          <w:p>
            <w:pPr>
              <w:pStyle w:val="TableParagraph"/>
              <w:spacing w:before="93"/>
              <w:ind w:left="3081" w:right="249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Documentation</w:t>
            </w:r>
          </w:p>
        </w:tc>
      </w:tr>
    </w:tbl>
    <w:p>
      <w:pPr>
        <w:spacing w:after="0"/>
        <w:jc w:val="center"/>
        <w:rPr>
          <w:sz w:val="20"/>
        </w:rPr>
        <w:sectPr>
          <w:type w:val="continuous"/>
          <w:pgSz w:w="12240" w:h="15840"/>
          <w:pgMar w:top="1420" w:bottom="280" w:left="1220" w:right="1180"/>
        </w:sectPr>
      </w:pPr>
    </w:p>
    <w:tbl>
      <w:tblPr>
        <w:tblW w:w="0" w:type="auto"/>
        <w:jc w:val="left"/>
        <w:tblInd w:w="23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931"/>
        <w:gridCol w:w="5433"/>
      </w:tblGrid>
      <w:tr>
        <w:trPr>
          <w:trHeight w:val="588" w:hRule="atLeast"/>
        </w:trPr>
        <w:tc>
          <w:tcPr>
            <w:tcW w:w="2931" w:type="dxa"/>
            <w:tcBorders>
              <w:left w:val="single" w:sz="8" w:space="0" w:color="F9BE8F"/>
            </w:tcBorders>
          </w:tcPr>
          <w:p>
            <w:pPr>
              <w:pStyle w:val="TableParagraph"/>
              <w:spacing w:before="1"/>
              <w:ind w:left="9"/>
              <w:rPr>
                <w:b/>
                <w:sz w:val="20"/>
              </w:rPr>
            </w:pPr>
            <w:r>
              <w:rPr>
                <w:b/>
                <w:sz w:val="20"/>
              </w:rPr>
              <w:t>Direct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z w:val="20"/>
              </w:rPr>
              <w:t>Observations</w:t>
            </w:r>
          </w:p>
        </w:tc>
        <w:tc>
          <w:tcPr>
            <w:tcW w:w="5433" w:type="dxa"/>
          </w:tcPr>
          <w:p>
            <w:pPr>
              <w:pStyle w:val="TableParagraph"/>
              <w:spacing w:before="56"/>
              <w:ind w:right="188"/>
              <w:jc w:val="right"/>
              <w:rPr>
                <w:sz w:val="19"/>
              </w:rPr>
            </w:pPr>
            <w:r>
              <w:rPr>
                <w:sz w:val="19"/>
              </w:rPr>
              <w:t>Assessment</w:t>
            </w:r>
            <w:r>
              <w:rPr>
                <w:spacing w:val="-4"/>
                <w:sz w:val="19"/>
              </w:rPr>
              <w:t> </w:t>
            </w:r>
            <w:r>
              <w:rPr>
                <w:sz w:val="19"/>
              </w:rPr>
              <w:t>and</w:t>
            </w:r>
            <w:r>
              <w:rPr>
                <w:spacing w:val="-3"/>
                <w:sz w:val="19"/>
              </w:rPr>
              <w:t> </w:t>
            </w:r>
            <w:r>
              <w:rPr>
                <w:sz w:val="19"/>
              </w:rPr>
              <w:t>questionnaire</w:t>
            </w:r>
            <w:r>
              <w:rPr>
                <w:spacing w:val="-3"/>
                <w:sz w:val="19"/>
              </w:rPr>
              <w:t> </w:t>
            </w:r>
            <w:r>
              <w:rPr>
                <w:sz w:val="19"/>
              </w:rPr>
              <w:t>on</w:t>
            </w:r>
            <w:r>
              <w:rPr>
                <w:spacing w:val="-4"/>
                <w:sz w:val="19"/>
              </w:rPr>
              <w:t> </w:t>
            </w:r>
            <w:r>
              <w:rPr>
                <w:sz w:val="19"/>
              </w:rPr>
              <w:t>impacted</w:t>
            </w:r>
            <w:r>
              <w:rPr>
                <w:spacing w:val="-3"/>
                <w:sz w:val="19"/>
              </w:rPr>
              <w:t> </w:t>
            </w:r>
            <w:r>
              <w:rPr>
                <w:sz w:val="19"/>
              </w:rPr>
              <w:t>population.</w:t>
            </w:r>
          </w:p>
        </w:tc>
      </w:tr>
      <w:tr>
        <w:trPr>
          <w:trHeight w:val="741" w:hRule="atLeast"/>
        </w:trPr>
        <w:tc>
          <w:tcPr>
            <w:tcW w:w="2931" w:type="dxa"/>
            <w:tcBorders>
              <w:left w:val="single" w:sz="8" w:space="0" w:color="F9BE8F"/>
            </w:tcBorders>
          </w:tcPr>
          <w:p>
            <w:pPr>
              <w:pStyle w:val="TableParagraph"/>
              <w:spacing w:before="6"/>
              <w:rPr>
                <w:sz w:val="21"/>
              </w:rPr>
            </w:pPr>
          </w:p>
          <w:p>
            <w:pPr>
              <w:pStyle w:val="TableParagraph"/>
              <w:ind w:left="9"/>
              <w:rPr>
                <w:b/>
                <w:sz w:val="20"/>
              </w:rPr>
            </w:pPr>
            <w:r>
              <w:rPr>
                <w:b/>
                <w:sz w:val="20"/>
              </w:rPr>
              <w:t>Participant-Observation</w:t>
            </w:r>
          </w:p>
        </w:tc>
        <w:tc>
          <w:tcPr>
            <w:tcW w:w="5433" w:type="dxa"/>
          </w:tcPr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ind w:right="188"/>
              <w:jc w:val="right"/>
              <w:rPr>
                <w:sz w:val="19"/>
              </w:rPr>
            </w:pPr>
            <w:r>
              <w:rPr>
                <w:sz w:val="19"/>
              </w:rPr>
              <w:t>Assessment</w:t>
            </w:r>
            <w:r>
              <w:rPr>
                <w:spacing w:val="-5"/>
                <w:sz w:val="19"/>
              </w:rPr>
              <w:t> </w:t>
            </w:r>
            <w:r>
              <w:rPr>
                <w:sz w:val="19"/>
              </w:rPr>
              <w:t>and</w:t>
            </w:r>
            <w:r>
              <w:rPr>
                <w:spacing w:val="-3"/>
                <w:sz w:val="19"/>
              </w:rPr>
              <w:t> </w:t>
            </w:r>
            <w:r>
              <w:rPr>
                <w:sz w:val="19"/>
              </w:rPr>
              <w:t>questionnaire</w:t>
            </w:r>
            <w:r>
              <w:rPr>
                <w:spacing w:val="-2"/>
                <w:sz w:val="19"/>
              </w:rPr>
              <w:t> </w:t>
            </w:r>
            <w:r>
              <w:rPr>
                <w:sz w:val="19"/>
              </w:rPr>
              <w:t>on</w:t>
            </w:r>
            <w:r>
              <w:rPr>
                <w:spacing w:val="-4"/>
                <w:sz w:val="19"/>
              </w:rPr>
              <w:t> </w:t>
            </w:r>
            <w:r>
              <w:rPr>
                <w:sz w:val="19"/>
              </w:rPr>
              <w:t>impacted</w:t>
            </w:r>
            <w:r>
              <w:rPr>
                <w:spacing w:val="-3"/>
                <w:sz w:val="19"/>
              </w:rPr>
              <w:t> </w:t>
            </w:r>
            <w:r>
              <w:rPr>
                <w:sz w:val="19"/>
              </w:rPr>
              <w:t>population.</w:t>
            </w:r>
          </w:p>
        </w:tc>
      </w:tr>
    </w:tbl>
    <w:p>
      <w:pPr>
        <w:spacing w:before="2"/>
        <w:ind w:left="220" w:right="0" w:firstLine="0"/>
        <w:jc w:val="left"/>
        <w:rPr>
          <w:rFonts w:ascii="Calibri"/>
          <w:sz w:val="20"/>
        </w:rPr>
      </w:pPr>
      <w:r>
        <w:rPr/>
        <w:pict>
          <v:shape style="position:absolute;margin-left:517.059021pt;margin-top:-66.482567pt;width:1pt;height:66.55pt;mso-position-horizontal-relative:page;mso-position-vertical-relative:paragraph;z-index:15730688" id="docshape186" coordorigin="10341,-1330" coordsize="20,1331" path="m10360,-1330l10341,-1330,10341,-849,10341,0,10360,0,10360,-849,10360,-1330xe" filled="true" fillcolor="#f9be8f" stroked="false">
            <v:path arrowok="t"/>
            <v:fill type="solid"/>
            <w10:wrap type="none"/>
          </v:shape>
        </w:pict>
      </w:r>
      <w:r>
        <w:rPr>
          <w:rFonts w:ascii="Calibri"/>
          <w:b/>
          <w:sz w:val="20"/>
        </w:rPr>
        <w:t>Table</w:t>
      </w:r>
      <w:r>
        <w:rPr>
          <w:rFonts w:ascii="Calibri"/>
          <w:b/>
          <w:spacing w:val="-2"/>
          <w:sz w:val="20"/>
        </w:rPr>
        <w:t> </w:t>
      </w:r>
      <w:r>
        <w:rPr>
          <w:rFonts w:ascii="Calibri"/>
          <w:b/>
          <w:sz w:val="20"/>
        </w:rPr>
        <w:t>1.2</w:t>
      </w:r>
      <w:r>
        <w:rPr>
          <w:rFonts w:ascii="Calibri"/>
          <w:b/>
          <w:spacing w:val="-2"/>
          <w:sz w:val="20"/>
        </w:rPr>
        <w:t> </w:t>
      </w:r>
      <w:r>
        <w:rPr>
          <w:rFonts w:ascii="Calibri"/>
          <w:sz w:val="20"/>
        </w:rPr>
        <w:t>Sources</w:t>
      </w:r>
      <w:r>
        <w:rPr>
          <w:rFonts w:ascii="Calibri"/>
          <w:spacing w:val="-3"/>
          <w:sz w:val="20"/>
        </w:rPr>
        <w:t> </w:t>
      </w:r>
      <w:r>
        <w:rPr>
          <w:rFonts w:ascii="Calibri"/>
          <w:sz w:val="20"/>
        </w:rPr>
        <w:t>of</w:t>
      </w:r>
      <w:r>
        <w:rPr>
          <w:rFonts w:ascii="Calibri"/>
          <w:spacing w:val="-4"/>
          <w:sz w:val="20"/>
        </w:rPr>
        <w:t> </w:t>
      </w:r>
      <w:r>
        <w:rPr>
          <w:rFonts w:ascii="Calibri"/>
          <w:sz w:val="20"/>
        </w:rPr>
        <w:t>Evidence</w:t>
      </w:r>
    </w:p>
    <w:p>
      <w:pPr>
        <w:spacing w:after="0"/>
        <w:jc w:val="left"/>
        <w:rPr>
          <w:rFonts w:ascii="Calibri"/>
          <w:sz w:val="20"/>
        </w:rPr>
        <w:sectPr>
          <w:type w:val="continuous"/>
          <w:pgSz w:w="12240" w:h="15840"/>
          <w:pgMar w:top="1420" w:bottom="280" w:left="1220" w:right="1180"/>
        </w:sectPr>
      </w:pPr>
    </w:p>
    <w:p>
      <w:pPr>
        <w:pStyle w:val="BodyText"/>
        <w:spacing w:line="480" w:lineRule="auto" w:before="72"/>
        <w:ind w:right="436"/>
      </w:pPr>
      <w:r>
        <w:rPr/>
        <w:t>Urban</w:t>
      </w:r>
      <w:r>
        <w:rPr>
          <w:spacing w:val="-2"/>
        </w:rPr>
        <w:t> </w:t>
      </w:r>
      <w:r>
        <w:rPr/>
        <w:t>health-related</w:t>
      </w:r>
      <w:r>
        <w:rPr>
          <w:spacing w:val="-1"/>
        </w:rPr>
        <w:t> </w:t>
      </w:r>
      <w:r>
        <w:rPr/>
        <w:t>and</w:t>
      </w:r>
      <w:r>
        <w:rPr>
          <w:spacing w:val="1"/>
        </w:rPr>
        <w:t> </w:t>
      </w:r>
      <w:r>
        <w:rPr/>
        <w:t>subsequently,</w:t>
      </w:r>
      <w:r>
        <w:rPr>
          <w:spacing w:val="59"/>
        </w:rPr>
        <w:t> </w:t>
      </w:r>
      <w:r>
        <w:rPr/>
        <w:t>issues</w:t>
      </w:r>
      <w:r>
        <w:rPr>
          <w:spacing w:val="1"/>
        </w:rPr>
        <w:t> </w:t>
      </w:r>
      <w:r>
        <w:rPr/>
        <w:t>caused</w:t>
      </w:r>
      <w:r>
        <w:rPr>
          <w:spacing w:val="-1"/>
        </w:rPr>
        <w:t> </w:t>
      </w:r>
      <w:r>
        <w:rPr/>
        <w:t>by</w:t>
      </w:r>
      <w:r>
        <w:rPr>
          <w:spacing w:val="-2"/>
        </w:rPr>
        <w:t> </w:t>
      </w:r>
      <w:r>
        <w:rPr/>
        <w:t>climate</w:t>
      </w:r>
      <w:r>
        <w:rPr>
          <w:spacing w:val="-2"/>
        </w:rPr>
        <w:t> </w:t>
      </w:r>
      <w:r>
        <w:rPr/>
        <w:t>change</w:t>
      </w:r>
      <w:r>
        <w:rPr>
          <w:spacing w:val="-2"/>
        </w:rPr>
        <w:t> </w:t>
      </w:r>
      <w:r>
        <w:rPr/>
        <w:t>impacts</w:t>
      </w:r>
      <w:r>
        <w:rPr>
          <w:spacing w:val="-1"/>
        </w:rPr>
        <w:t> </w:t>
      </w:r>
      <w:r>
        <w:rPr/>
        <w:t>are</w:t>
      </w:r>
      <w:r>
        <w:rPr>
          <w:spacing w:val="-3"/>
        </w:rPr>
        <w:t> </w:t>
      </w:r>
      <w:r>
        <w:rPr/>
        <w:t>dependent</w:t>
      </w:r>
      <w:r>
        <w:rPr>
          <w:spacing w:val="-57"/>
        </w:rPr>
        <w:t> </w:t>
      </w:r>
      <w:r>
        <w:rPr/>
        <w:t>on</w:t>
      </w:r>
      <w:r>
        <w:rPr>
          <w:spacing w:val="-1"/>
        </w:rPr>
        <w:t> </w:t>
      </w:r>
      <w:r>
        <w:rPr/>
        <w:t>several</w:t>
      </w:r>
      <w:r>
        <w:rPr>
          <w:spacing w:val="-1"/>
        </w:rPr>
        <w:t> </w:t>
      </w:r>
      <w:r>
        <w:rPr/>
        <w:t>factors that</w:t>
      </w:r>
      <w:r>
        <w:rPr>
          <w:spacing w:val="-1"/>
        </w:rPr>
        <w:t> </w:t>
      </w:r>
      <w:r>
        <w:rPr/>
        <w:t>determine exposure</w:t>
      </w:r>
      <w:r>
        <w:rPr>
          <w:spacing w:val="-3"/>
        </w:rPr>
        <w:t> </w:t>
      </w:r>
      <w:r>
        <w:rPr/>
        <w:t>and</w:t>
      </w:r>
      <w:r>
        <w:rPr>
          <w:spacing w:val="-1"/>
        </w:rPr>
        <w:t> </w:t>
      </w:r>
      <w:r>
        <w:rPr/>
        <w:t>vulnerabilities and</w:t>
      </w:r>
      <w:r>
        <w:rPr>
          <w:spacing w:val="59"/>
        </w:rPr>
        <w:t> </w:t>
      </w:r>
      <w:r>
        <w:rPr/>
        <w:t>situated</w:t>
      </w:r>
      <w:r>
        <w:rPr>
          <w:spacing w:val="1"/>
        </w:rPr>
        <w:t> </w:t>
      </w:r>
      <w:r>
        <w:rPr/>
        <w:t>within</w:t>
      </w:r>
      <w:r>
        <w:rPr>
          <w:spacing w:val="-1"/>
        </w:rPr>
        <w:t> </w:t>
      </w:r>
      <w:r>
        <w:rPr/>
        <w:t>theories of</w:t>
      </w:r>
    </w:p>
    <w:p>
      <w:pPr>
        <w:pStyle w:val="BodyText"/>
        <w:spacing w:line="480" w:lineRule="auto"/>
        <w:ind w:right="356"/>
      </w:pPr>
      <w:r>
        <w:rPr/>
        <w:t>place and place-based vulnerability (Marolla, 2016; </w:t>
      </w:r>
      <w:r>
        <w:rPr>
          <w:color w:val="000000"/>
          <w:shd w:fill="FBFBFB" w:color="auto" w:val="clear"/>
        </w:rPr>
        <w:t>Lawal &amp; Osayomi,</w:t>
      </w:r>
      <w:r>
        <w:rPr>
          <w:color w:val="000000"/>
          <w:spacing w:val="1"/>
          <w:shd w:fill="FBFBFB" w:color="auto" w:val="clear"/>
        </w:rPr>
        <w:t> </w:t>
      </w:r>
      <w:r>
        <w:rPr>
          <w:color w:val="000000"/>
          <w:shd w:fill="FBFBFB" w:color="auto" w:val="clear"/>
        </w:rPr>
        <w:t>2021).</w:t>
      </w:r>
      <w:r>
        <w:rPr>
          <w:color w:val="000000"/>
          <w:spacing w:val="1"/>
        </w:rPr>
        <w:t> </w:t>
      </w:r>
      <w:r>
        <w:rPr>
          <w:color w:val="000000"/>
        </w:rPr>
        <w:t>Nonetheless,</w:t>
      </w:r>
      <w:r>
        <w:rPr>
          <w:color w:val="000000"/>
          <w:spacing w:val="1"/>
        </w:rPr>
        <w:t> </w:t>
      </w:r>
      <w:r>
        <w:rPr>
          <w:color w:val="000000"/>
        </w:rPr>
        <w:t>differential human vulnerability to environ hazards results from a range of social, economic,</w:t>
      </w:r>
      <w:r>
        <w:rPr>
          <w:color w:val="000000"/>
          <w:spacing w:val="1"/>
        </w:rPr>
        <w:t> </w:t>
      </w:r>
      <w:r>
        <w:rPr>
          <w:color w:val="000000"/>
        </w:rPr>
        <w:t>historical, and political factors, all of which operate at multiple scales. While adaptation to</w:t>
      </w:r>
      <w:r>
        <w:rPr>
          <w:color w:val="000000"/>
          <w:spacing w:val="1"/>
        </w:rPr>
        <w:t> </w:t>
      </w:r>
      <w:r>
        <w:rPr>
          <w:color w:val="000000"/>
        </w:rPr>
        <w:t>climate change has been the dominant focus of policy and research agendas, it is essential to ask</w:t>
      </w:r>
      <w:r>
        <w:rPr>
          <w:color w:val="000000"/>
          <w:spacing w:val="-57"/>
        </w:rPr>
        <w:t> </w:t>
      </w:r>
      <w:r>
        <w:rPr>
          <w:color w:val="000000"/>
        </w:rPr>
        <w:t>as well why some communities and peoples are disproportionately exposed to and affected by</w:t>
      </w:r>
      <w:r>
        <w:rPr>
          <w:color w:val="000000"/>
          <w:spacing w:val="1"/>
        </w:rPr>
        <w:t> </w:t>
      </w:r>
      <w:r>
        <w:rPr>
          <w:color w:val="000000"/>
        </w:rPr>
        <w:t>climate</w:t>
      </w:r>
      <w:r>
        <w:rPr>
          <w:color w:val="000000"/>
          <w:spacing w:val="-2"/>
        </w:rPr>
        <w:t> </w:t>
      </w:r>
      <w:r>
        <w:rPr>
          <w:color w:val="000000"/>
        </w:rPr>
        <w:t>threats (Thomas,</w:t>
      </w:r>
      <w:r>
        <w:rPr>
          <w:color w:val="000000"/>
          <w:spacing w:val="2"/>
        </w:rPr>
        <w:t> </w:t>
      </w:r>
      <w:r>
        <w:rPr>
          <w:color w:val="000000"/>
        </w:rPr>
        <w:t>et al., 2019).</w:t>
      </w:r>
    </w:p>
    <w:p>
      <w:pPr>
        <w:pStyle w:val="BodyText"/>
        <w:spacing w:line="480" w:lineRule="auto" w:before="200"/>
        <w:ind w:right="394"/>
      </w:pPr>
      <w:r>
        <w:rPr/>
        <w:t>Firstly, a</w:t>
      </w:r>
      <w:r>
        <w:rPr>
          <w:spacing w:val="-2"/>
        </w:rPr>
        <w:t> </w:t>
      </w:r>
      <w:r>
        <w:rPr/>
        <w:t>qualitative</w:t>
      </w:r>
      <w:r>
        <w:rPr>
          <w:spacing w:val="-2"/>
        </w:rPr>
        <w:t> </w:t>
      </w:r>
      <w:r>
        <w:rPr/>
        <w:t>design</w:t>
      </w:r>
      <w:r>
        <w:rPr>
          <w:spacing w:val="-1"/>
        </w:rPr>
        <w:t> </w:t>
      </w:r>
      <w:r>
        <w:rPr/>
        <w:t>was</w:t>
      </w:r>
      <w:r>
        <w:rPr>
          <w:spacing w:val="-1"/>
        </w:rPr>
        <w:t> </w:t>
      </w:r>
      <w:r>
        <w:rPr/>
        <w:t>chosen</w:t>
      </w:r>
      <w:r>
        <w:rPr>
          <w:spacing w:val="-2"/>
        </w:rPr>
        <w:t> </w:t>
      </w:r>
      <w:r>
        <w:rPr/>
        <w:t>to</w:t>
      </w:r>
      <w:r>
        <w:rPr>
          <w:spacing w:val="-1"/>
        </w:rPr>
        <w:t> </w:t>
      </w:r>
      <w:r>
        <w:rPr/>
        <w:t>describe</w:t>
      </w:r>
      <w:r>
        <w:rPr>
          <w:spacing w:val="-3"/>
        </w:rPr>
        <w:t> </w:t>
      </w:r>
      <w:r>
        <w:rPr/>
        <w:t>experiences</w:t>
      </w:r>
      <w:r>
        <w:rPr>
          <w:spacing w:val="-1"/>
        </w:rPr>
        <w:t> </w:t>
      </w:r>
      <w:r>
        <w:rPr/>
        <w:t>of</w:t>
      </w:r>
      <w:r>
        <w:rPr>
          <w:spacing w:val="-1"/>
        </w:rPr>
        <w:t> </w:t>
      </w:r>
      <w:r>
        <w:rPr/>
        <w:t>certain</w:t>
      </w:r>
      <w:r>
        <w:rPr>
          <w:spacing w:val="-2"/>
        </w:rPr>
        <w:t> </w:t>
      </w:r>
      <w:r>
        <w:rPr/>
        <w:t>severe</w:t>
      </w:r>
      <w:r>
        <w:rPr>
          <w:spacing w:val="-1"/>
        </w:rPr>
        <w:t> </w:t>
      </w:r>
      <w:r>
        <w:rPr/>
        <w:t>climatic</w:t>
      </w:r>
      <w:r>
        <w:rPr>
          <w:spacing w:val="-1"/>
        </w:rPr>
        <w:t> </w:t>
      </w:r>
      <w:r>
        <w:rPr/>
        <w:t>events</w:t>
      </w:r>
      <w:r>
        <w:rPr>
          <w:spacing w:val="-57"/>
        </w:rPr>
        <w:t> </w:t>
      </w:r>
      <w:r>
        <w:rPr/>
        <w:t>in urban populations and assessing vulnerabilities to cope with these stressors. A set of semi-</w:t>
      </w:r>
      <w:r>
        <w:rPr>
          <w:spacing w:val="1"/>
        </w:rPr>
        <w:t> </w:t>
      </w:r>
      <w:r>
        <w:rPr/>
        <w:t>structured interviews to provide flexible sources of data, document collection, observations and</w:t>
      </w:r>
      <w:r>
        <w:rPr>
          <w:spacing w:val="-57"/>
        </w:rPr>
        <w:t> </w:t>
      </w:r>
      <w:r>
        <w:rPr/>
        <w:t>research findings assessing urban dewellers‘ experiences throughout the impact of</w:t>
      </w:r>
      <w:r>
        <w:rPr>
          <w:spacing w:val="1"/>
        </w:rPr>
        <w:t> </w:t>
      </w:r>
      <w:r>
        <w:rPr/>
        <w:t>severe</w:t>
      </w:r>
      <w:r>
        <w:rPr>
          <w:spacing w:val="1"/>
        </w:rPr>
        <w:t> </w:t>
      </w:r>
      <w:r>
        <w:rPr/>
        <w:t>events. These experiences have been stated in many studies that document changes in</w:t>
      </w:r>
      <w:r>
        <w:rPr>
          <w:spacing w:val="1"/>
        </w:rPr>
        <w:t> </w:t>
      </w:r>
      <w:r>
        <w:rPr/>
        <w:t>and</w:t>
      </w:r>
      <w:r>
        <w:rPr>
          <w:spacing w:val="1"/>
        </w:rPr>
        <w:t> </w:t>
      </w:r>
      <w:r>
        <w:rPr/>
        <w:t>physical health among low-income residents exposed to severe climatic events and to explore</w:t>
      </w:r>
      <w:r>
        <w:rPr>
          <w:spacing w:val="1"/>
        </w:rPr>
        <w:t> </w:t>
      </w:r>
      <w:r>
        <w:rPr/>
        <w:t>how severe-related stressors and loss relate to post-disaster well being (Rhodes, et al., 2010;</w:t>
      </w:r>
      <w:r>
        <w:rPr>
          <w:spacing w:val="1"/>
        </w:rPr>
        <w:t> </w:t>
      </w:r>
      <w:r>
        <w:rPr/>
        <w:t>Lemery, et al., 2021; Charlson, et al., 2021), including displacement, and social and economic</w:t>
      </w:r>
      <w:r>
        <w:rPr>
          <w:spacing w:val="1"/>
        </w:rPr>
        <w:t> </w:t>
      </w:r>
      <w:r>
        <w:rPr/>
        <w:t>distress</w:t>
      </w:r>
      <w:r>
        <w:rPr>
          <w:spacing w:val="-1"/>
        </w:rPr>
        <w:t> </w:t>
      </w:r>
      <w:r>
        <w:rPr/>
        <w:t>and its co-relation to physical and</w:t>
      </w:r>
      <w:r>
        <w:rPr>
          <w:spacing w:val="59"/>
        </w:rPr>
        <w:t> </w:t>
      </w:r>
      <w:r>
        <w:rPr/>
        <w:t>health</w:t>
      </w:r>
      <w:r>
        <w:rPr>
          <w:spacing w:val="2"/>
        </w:rPr>
        <w:t> </w:t>
      </w:r>
      <w:r>
        <w:rPr/>
        <w:t>risks.</w:t>
      </w:r>
    </w:p>
    <w:p>
      <w:pPr>
        <w:pStyle w:val="BodyText"/>
        <w:spacing w:before="3"/>
      </w:pPr>
      <w:r>
        <w:rPr/>
        <w:t>These</w:t>
      </w:r>
      <w:r>
        <w:rPr>
          <w:spacing w:val="-2"/>
        </w:rPr>
        <w:t> </w:t>
      </w:r>
      <w:r>
        <w:rPr/>
        <w:t>studies </w:t>
      </w:r>
      <w:r>
        <w:rPr>
          <w:color w:val="000000"/>
          <w:shd w:fill="FBFBFB" w:color="auto" w:val="clear"/>
        </w:rPr>
        <w:t>rely</w:t>
      </w:r>
      <w:r>
        <w:rPr>
          <w:color w:val="000000"/>
          <w:spacing w:val="-5"/>
          <w:shd w:fill="FBFBFB" w:color="auto" w:val="clear"/>
        </w:rPr>
        <w:t> </w:t>
      </w:r>
      <w:r>
        <w:rPr>
          <w:color w:val="000000"/>
          <w:shd w:fill="FBFBFB" w:color="auto" w:val="clear"/>
        </w:rPr>
        <w:t>on socio-economic</w:t>
      </w:r>
      <w:r>
        <w:rPr>
          <w:color w:val="000000"/>
          <w:spacing w:val="-1"/>
          <w:shd w:fill="FBFBFB" w:color="auto" w:val="clear"/>
        </w:rPr>
        <w:t> </w:t>
      </w:r>
      <w:r>
        <w:rPr>
          <w:color w:val="000000"/>
          <w:shd w:fill="FBFBFB" w:color="auto" w:val="clear"/>
        </w:rPr>
        <w:t>and</w:t>
      </w:r>
      <w:r>
        <w:rPr>
          <w:color w:val="000000"/>
          <w:spacing w:val="-1"/>
          <w:shd w:fill="FBFBFB" w:color="auto" w:val="clear"/>
        </w:rPr>
        <w:t> </w:t>
      </w:r>
      <w:r>
        <w:rPr>
          <w:color w:val="000000"/>
          <w:shd w:fill="FBFBFB" w:color="auto" w:val="clear"/>
        </w:rPr>
        <w:t>demographic characteristics of the</w:t>
      </w:r>
      <w:r>
        <w:rPr>
          <w:color w:val="000000"/>
          <w:spacing w:val="-1"/>
          <w:shd w:fill="FBFBFB" w:color="auto" w:val="clear"/>
        </w:rPr>
        <w:t> </w:t>
      </w:r>
      <w:r>
        <w:rPr>
          <w:color w:val="000000"/>
          <w:shd w:fill="FBFBFB" w:color="auto" w:val="clear"/>
        </w:rPr>
        <w:t>population to</w:t>
      </w:r>
    </w:p>
    <w:p>
      <w:pPr>
        <w:pStyle w:val="BodyText"/>
        <w:ind w:left="0"/>
        <w:rPr>
          <w:sz w:val="16"/>
        </w:rPr>
      </w:pPr>
    </w:p>
    <w:p>
      <w:pPr>
        <w:pStyle w:val="BodyText"/>
        <w:spacing w:before="90"/>
      </w:pPr>
      <w:r>
        <w:rPr>
          <w:color w:val="000000"/>
          <w:shd w:fill="FBFBFB" w:color="auto" w:val="clear"/>
        </w:rPr>
        <w:t>highlight</w:t>
      </w:r>
      <w:r>
        <w:rPr>
          <w:color w:val="000000"/>
          <w:spacing w:val="-1"/>
          <w:shd w:fill="FBFBFB" w:color="auto" w:val="clear"/>
        </w:rPr>
        <w:t> </w:t>
      </w:r>
      <w:r>
        <w:rPr>
          <w:color w:val="000000"/>
          <w:shd w:fill="FBFBFB" w:color="auto" w:val="clear"/>
        </w:rPr>
        <w:t>the</w:t>
      </w:r>
      <w:r>
        <w:rPr>
          <w:color w:val="000000"/>
          <w:spacing w:val="-2"/>
          <w:shd w:fill="FBFBFB" w:color="auto" w:val="clear"/>
        </w:rPr>
        <w:t> </w:t>
      </w:r>
      <w:r>
        <w:rPr>
          <w:color w:val="000000"/>
          <w:shd w:fill="FBFBFB" w:color="auto" w:val="clear"/>
        </w:rPr>
        <w:t>spatial distribution</w:t>
      </w:r>
      <w:r>
        <w:rPr>
          <w:color w:val="000000"/>
          <w:spacing w:val="-1"/>
          <w:shd w:fill="FBFBFB" w:color="auto" w:val="clear"/>
        </w:rPr>
        <w:t> </w:t>
      </w:r>
      <w:r>
        <w:rPr>
          <w:color w:val="000000"/>
          <w:shd w:fill="FBFBFB" w:color="auto" w:val="clear"/>
        </w:rPr>
        <w:t>of</w:t>
      </w:r>
      <w:r>
        <w:rPr>
          <w:color w:val="000000"/>
          <w:spacing w:val="-1"/>
          <w:shd w:fill="FBFBFB" w:color="auto" w:val="clear"/>
        </w:rPr>
        <w:t> </w:t>
      </w:r>
      <w:r>
        <w:rPr>
          <w:color w:val="000000"/>
          <w:shd w:fill="FBFBFB" w:color="auto" w:val="clear"/>
        </w:rPr>
        <w:t>social inequalities</w:t>
      </w:r>
      <w:r>
        <w:rPr>
          <w:color w:val="000000"/>
          <w:spacing w:val="-1"/>
          <w:shd w:fill="FBFBFB" w:color="auto" w:val="clear"/>
        </w:rPr>
        <w:t> </w:t>
      </w:r>
      <w:r>
        <w:rPr>
          <w:color w:val="000000"/>
          <w:shd w:fill="FBFBFB" w:color="auto" w:val="clear"/>
        </w:rPr>
        <w:t>and</w:t>
      </w:r>
      <w:r>
        <w:rPr>
          <w:color w:val="000000"/>
          <w:spacing w:val="-2"/>
          <w:shd w:fill="FBFBFB" w:color="auto" w:val="clear"/>
        </w:rPr>
        <w:t> </w:t>
      </w:r>
      <w:r>
        <w:rPr>
          <w:color w:val="000000"/>
          <w:shd w:fill="FBFBFB" w:color="auto" w:val="clear"/>
        </w:rPr>
        <w:t>to identify</w:t>
      </w:r>
      <w:r>
        <w:rPr>
          <w:color w:val="000000"/>
          <w:spacing w:val="-6"/>
          <w:shd w:fill="FBFBFB" w:color="auto" w:val="clear"/>
        </w:rPr>
        <w:t> </w:t>
      </w:r>
      <w:r>
        <w:rPr>
          <w:color w:val="000000"/>
          <w:shd w:fill="FBFBFB" w:color="auto" w:val="clear"/>
        </w:rPr>
        <w:t>the communities with</w:t>
      </w:r>
      <w:r>
        <w:rPr>
          <w:color w:val="000000"/>
          <w:spacing w:val="-1"/>
          <w:shd w:fill="FBFBFB" w:color="auto" w:val="clear"/>
        </w:rPr>
        <w:t> </w:t>
      </w:r>
      <w:r>
        <w:rPr>
          <w:color w:val="000000"/>
          <w:shd w:fill="FBFBFB" w:color="auto" w:val="clear"/>
        </w:rPr>
        <w:t>the</w:t>
      </w:r>
    </w:p>
    <w:p>
      <w:pPr>
        <w:pStyle w:val="BodyText"/>
        <w:ind w:left="0"/>
        <w:rPr>
          <w:sz w:val="16"/>
        </w:rPr>
      </w:pPr>
    </w:p>
    <w:p>
      <w:pPr>
        <w:pStyle w:val="BodyText"/>
        <w:spacing w:before="90"/>
      </w:pPr>
      <w:r>
        <w:rPr>
          <w:color w:val="000000"/>
          <w:shd w:fill="FBFBFB" w:color="auto" w:val="clear"/>
        </w:rPr>
        <w:t>highest</w:t>
      </w:r>
      <w:r>
        <w:rPr>
          <w:color w:val="000000"/>
          <w:spacing w:val="-1"/>
          <w:shd w:fill="FBFBFB" w:color="auto" w:val="clear"/>
        </w:rPr>
        <w:t> </w:t>
      </w:r>
      <w:r>
        <w:rPr>
          <w:color w:val="000000"/>
          <w:shd w:fill="FBFBFB" w:color="auto" w:val="clear"/>
        </w:rPr>
        <w:t>concentration</w:t>
      </w:r>
      <w:r>
        <w:rPr>
          <w:color w:val="000000"/>
          <w:spacing w:val="-1"/>
          <w:shd w:fill="FBFBFB" w:color="auto" w:val="clear"/>
        </w:rPr>
        <w:t> </w:t>
      </w:r>
      <w:r>
        <w:rPr>
          <w:color w:val="000000"/>
          <w:shd w:fill="FBFBFB" w:color="auto" w:val="clear"/>
        </w:rPr>
        <w:t>of</w:t>
      </w:r>
      <w:r>
        <w:rPr>
          <w:color w:val="000000"/>
          <w:spacing w:val="-2"/>
          <w:shd w:fill="FBFBFB" w:color="auto" w:val="clear"/>
        </w:rPr>
        <w:t> </w:t>
      </w:r>
      <w:r>
        <w:rPr>
          <w:color w:val="000000"/>
          <w:shd w:fill="FBFBFB" w:color="auto" w:val="clear"/>
        </w:rPr>
        <w:t>specific</w:t>
      </w:r>
      <w:r>
        <w:rPr>
          <w:color w:val="000000"/>
          <w:spacing w:val="-1"/>
          <w:shd w:fill="FBFBFB" w:color="auto" w:val="clear"/>
        </w:rPr>
        <w:t> </w:t>
      </w:r>
      <w:r>
        <w:rPr>
          <w:color w:val="000000"/>
          <w:shd w:fill="FBFBFB" w:color="auto" w:val="clear"/>
        </w:rPr>
        <w:t>vulnerable groups</w:t>
      </w:r>
      <w:r>
        <w:rPr>
          <w:color w:val="000000"/>
          <w:spacing w:val="-1"/>
          <w:shd w:fill="FBFBFB" w:color="auto" w:val="clear"/>
        </w:rPr>
        <w:t> </w:t>
      </w:r>
      <w:r>
        <w:rPr>
          <w:color w:val="000000"/>
          <w:shd w:fill="FBFBFB" w:color="auto" w:val="clear"/>
        </w:rPr>
        <w:t>who</w:t>
      </w:r>
      <w:r>
        <w:rPr>
          <w:color w:val="000000"/>
          <w:spacing w:val="-1"/>
          <w:shd w:fill="FBFBFB" w:color="auto" w:val="clear"/>
        </w:rPr>
        <w:t> </w:t>
      </w:r>
      <w:r>
        <w:rPr>
          <w:color w:val="000000"/>
          <w:shd w:fill="FBFBFB" w:color="auto" w:val="clear"/>
        </w:rPr>
        <w:t>are</w:t>
      </w:r>
      <w:r>
        <w:rPr>
          <w:color w:val="000000"/>
          <w:spacing w:val="-3"/>
          <w:shd w:fill="FBFBFB" w:color="auto" w:val="clear"/>
        </w:rPr>
        <w:t> </w:t>
      </w:r>
      <w:r>
        <w:rPr>
          <w:color w:val="000000"/>
          <w:shd w:fill="FBFBFB" w:color="auto" w:val="clear"/>
        </w:rPr>
        <w:t>more</w:t>
      </w:r>
      <w:r>
        <w:rPr>
          <w:color w:val="000000"/>
          <w:spacing w:val="-2"/>
          <w:shd w:fill="FBFBFB" w:color="auto" w:val="clear"/>
        </w:rPr>
        <w:t> </w:t>
      </w:r>
      <w:r>
        <w:rPr>
          <w:color w:val="000000"/>
          <w:shd w:fill="FBFBFB" w:color="auto" w:val="clear"/>
        </w:rPr>
        <w:t>sensitive to</w:t>
      </w:r>
      <w:r>
        <w:rPr>
          <w:color w:val="000000"/>
          <w:spacing w:val="-1"/>
          <w:shd w:fill="FBFBFB" w:color="auto" w:val="clear"/>
        </w:rPr>
        <w:t> </w:t>
      </w:r>
      <w:r>
        <w:rPr>
          <w:color w:val="000000"/>
          <w:shd w:fill="FBFBFB" w:color="auto" w:val="clear"/>
        </w:rPr>
        <w:t>the</w:t>
      </w:r>
      <w:r>
        <w:rPr>
          <w:color w:val="000000"/>
          <w:spacing w:val="-2"/>
          <w:shd w:fill="FBFBFB" w:color="auto" w:val="clear"/>
        </w:rPr>
        <w:t> </w:t>
      </w:r>
      <w:r>
        <w:rPr>
          <w:color w:val="000000"/>
          <w:shd w:fill="FBFBFB" w:color="auto" w:val="clear"/>
        </w:rPr>
        <w:t>effects</w:t>
      </w:r>
      <w:r>
        <w:rPr>
          <w:color w:val="000000"/>
          <w:spacing w:val="-1"/>
          <w:shd w:fill="FBFBFB" w:color="auto" w:val="clear"/>
        </w:rPr>
        <w:t> </w:t>
      </w:r>
      <w:r>
        <w:rPr>
          <w:color w:val="000000"/>
          <w:shd w:fill="FBFBFB" w:color="auto" w:val="clear"/>
        </w:rPr>
        <w:t>of</w:t>
      </w:r>
    </w:p>
    <w:p>
      <w:pPr>
        <w:pStyle w:val="BodyText"/>
        <w:ind w:left="0"/>
        <w:rPr>
          <w:sz w:val="16"/>
        </w:rPr>
      </w:pPr>
    </w:p>
    <w:p>
      <w:pPr>
        <w:pStyle w:val="BodyText"/>
        <w:spacing w:before="90"/>
      </w:pPr>
      <w:r>
        <w:rPr>
          <w:color w:val="000000"/>
          <w:shd w:fill="FBFBFB" w:color="auto" w:val="clear"/>
        </w:rPr>
        <w:t>natural</w:t>
      </w:r>
      <w:r>
        <w:rPr>
          <w:color w:val="000000"/>
          <w:spacing w:val="-1"/>
          <w:shd w:fill="FBFBFB" w:color="auto" w:val="clear"/>
        </w:rPr>
        <w:t> </w:t>
      </w:r>
      <w:r>
        <w:rPr>
          <w:color w:val="000000"/>
          <w:shd w:fill="FBFBFB" w:color="auto" w:val="clear"/>
        </w:rPr>
        <w:t>and</w:t>
      </w:r>
      <w:r>
        <w:rPr>
          <w:color w:val="000000"/>
          <w:spacing w:val="-1"/>
          <w:shd w:fill="FBFBFB" w:color="auto" w:val="clear"/>
        </w:rPr>
        <w:t> </w:t>
      </w:r>
      <w:r>
        <w:rPr>
          <w:color w:val="000000"/>
          <w:shd w:fill="FBFBFB" w:color="auto" w:val="clear"/>
        </w:rPr>
        <w:t>anthropogenic</w:t>
      </w:r>
      <w:r>
        <w:rPr>
          <w:color w:val="000000"/>
          <w:spacing w:val="-1"/>
          <w:shd w:fill="FBFBFB" w:color="auto" w:val="clear"/>
        </w:rPr>
        <w:t> </w:t>
      </w:r>
      <w:r>
        <w:rPr>
          <w:color w:val="000000"/>
          <w:shd w:fill="FBFBFB" w:color="auto" w:val="clear"/>
        </w:rPr>
        <w:t>hazards</w:t>
      </w:r>
      <w:r>
        <w:rPr>
          <w:color w:val="000000"/>
          <w:spacing w:val="-1"/>
          <w:shd w:fill="FBFBFB" w:color="auto" w:val="clear"/>
        </w:rPr>
        <w:t> </w:t>
      </w:r>
      <w:r>
        <w:rPr>
          <w:color w:val="000000"/>
          <w:shd w:fill="FBFBFB" w:color="auto" w:val="clear"/>
        </w:rPr>
        <w:t>and</w:t>
      </w:r>
      <w:r>
        <w:rPr>
          <w:color w:val="000000"/>
          <w:spacing w:val="1"/>
          <w:shd w:fill="FBFBFB" w:color="auto" w:val="clear"/>
        </w:rPr>
        <w:t> </w:t>
      </w:r>
      <w:r>
        <w:rPr>
          <w:color w:val="000000"/>
          <w:shd w:fill="FBFBFB" w:color="auto" w:val="clear"/>
        </w:rPr>
        <w:t>are</w:t>
      </w:r>
      <w:r>
        <w:rPr>
          <w:color w:val="000000"/>
          <w:spacing w:val="-3"/>
          <w:shd w:fill="FBFBFB" w:color="auto" w:val="clear"/>
        </w:rPr>
        <w:t> </w:t>
      </w:r>
      <w:r>
        <w:rPr>
          <w:color w:val="000000"/>
          <w:shd w:fill="FBFBFB" w:color="auto" w:val="clear"/>
        </w:rPr>
        <w:t>less</w:t>
      </w:r>
      <w:r>
        <w:rPr>
          <w:color w:val="000000"/>
          <w:spacing w:val="1"/>
          <w:shd w:fill="FBFBFB" w:color="auto" w:val="clear"/>
        </w:rPr>
        <w:t> </w:t>
      </w:r>
      <w:r>
        <w:rPr>
          <w:color w:val="000000"/>
          <w:shd w:fill="FBFBFB" w:color="auto" w:val="clear"/>
        </w:rPr>
        <w:t>able</w:t>
      </w:r>
      <w:r>
        <w:rPr>
          <w:color w:val="000000"/>
          <w:spacing w:val="-1"/>
          <w:shd w:fill="FBFBFB" w:color="auto" w:val="clear"/>
        </w:rPr>
        <w:t> </w:t>
      </w:r>
      <w:r>
        <w:rPr>
          <w:color w:val="000000"/>
          <w:shd w:fill="FBFBFB" w:color="auto" w:val="clear"/>
        </w:rPr>
        <w:t>to</w:t>
      </w:r>
      <w:r>
        <w:rPr>
          <w:color w:val="000000"/>
          <w:spacing w:val="-1"/>
          <w:shd w:fill="FBFBFB" w:color="auto" w:val="clear"/>
        </w:rPr>
        <w:t> </w:t>
      </w:r>
      <w:r>
        <w:rPr>
          <w:color w:val="000000"/>
          <w:shd w:fill="FBFBFB" w:color="auto" w:val="clear"/>
        </w:rPr>
        <w:t>adequately</w:t>
      </w:r>
      <w:r>
        <w:rPr>
          <w:color w:val="000000"/>
          <w:spacing w:val="-4"/>
          <w:shd w:fill="FBFBFB" w:color="auto" w:val="clear"/>
        </w:rPr>
        <w:t> </w:t>
      </w:r>
      <w:r>
        <w:rPr>
          <w:color w:val="000000"/>
          <w:shd w:fill="FBFBFB" w:color="auto" w:val="clear"/>
        </w:rPr>
        <w:t>adapt,</w:t>
      </w:r>
      <w:r>
        <w:rPr>
          <w:color w:val="000000"/>
          <w:spacing w:val="-1"/>
          <w:shd w:fill="FBFBFB" w:color="auto" w:val="clear"/>
        </w:rPr>
        <w:t> </w:t>
      </w:r>
      <w:r>
        <w:rPr>
          <w:color w:val="000000"/>
          <w:shd w:fill="FBFBFB" w:color="auto" w:val="clear"/>
        </w:rPr>
        <w:t>respond</w:t>
      </w:r>
      <w:r>
        <w:rPr>
          <w:color w:val="000000"/>
          <w:spacing w:val="-1"/>
          <w:shd w:fill="FBFBFB" w:color="auto" w:val="clear"/>
        </w:rPr>
        <w:t> </w:t>
      </w:r>
      <w:r>
        <w:rPr>
          <w:color w:val="000000"/>
          <w:shd w:fill="FBFBFB" w:color="auto" w:val="clear"/>
        </w:rPr>
        <w:t>and</w:t>
      </w:r>
      <w:r>
        <w:rPr>
          <w:color w:val="000000"/>
          <w:spacing w:val="-1"/>
          <w:shd w:fill="FBFBFB" w:color="auto" w:val="clear"/>
        </w:rPr>
        <w:t> </w:t>
      </w:r>
      <w:r>
        <w:rPr>
          <w:color w:val="000000"/>
          <w:shd w:fill="FBFBFB" w:color="auto" w:val="clear"/>
        </w:rPr>
        <w:t>recover</w:t>
      </w:r>
    </w:p>
    <w:p>
      <w:pPr>
        <w:pStyle w:val="BodyText"/>
        <w:ind w:left="0"/>
        <w:rPr>
          <w:sz w:val="16"/>
        </w:rPr>
      </w:pPr>
    </w:p>
    <w:p>
      <w:pPr>
        <w:pStyle w:val="BodyText"/>
        <w:spacing w:line="477" w:lineRule="auto" w:before="90"/>
        <w:ind w:right="468"/>
      </w:pPr>
      <w:r>
        <w:rPr>
          <w:color w:val="000000"/>
          <w:shd w:fill="FBFBFB" w:color="auto" w:val="clear"/>
        </w:rPr>
        <w:t>(Cutter &amp; Finc, </w:t>
      </w:r>
      <w:hyperlink r:id="rId9">
        <w:r>
          <w:rPr>
            <w:color w:val="000000"/>
          </w:rPr>
          <w:t>2008</w:t>
        </w:r>
      </w:hyperlink>
      <w:r>
        <w:rPr>
          <w:color w:val="000000"/>
        </w:rPr>
        <w:t>; </w:t>
      </w:r>
      <w:r>
        <w:rPr>
          <w:color w:val="000000"/>
          <w:shd w:fill="FBFBFB" w:color="auto" w:val="clear"/>
        </w:rPr>
        <w:t>Chen, et al., 2013; Ogie &amp; Pradhan, 2019 ). </w:t>
      </w:r>
      <w:r>
        <w:rPr>
          <w:color w:val="000000"/>
        </w:rPr>
        <w:t>One of the attributues of this</w:t>
      </w:r>
      <w:r>
        <w:rPr>
          <w:color w:val="000000"/>
          <w:spacing w:val="-58"/>
        </w:rPr>
        <w:t> </w:t>
      </w:r>
      <w:r>
        <w:rPr>
          <w:color w:val="000000"/>
        </w:rPr>
        <w:t>methodology is that it does not seek to generalize their findings to a wider population (Austin,</w:t>
      </w:r>
      <w:r>
        <w:rPr>
          <w:color w:val="000000"/>
          <w:spacing w:val="1"/>
        </w:rPr>
        <w:t> </w:t>
      </w:r>
      <w:r>
        <w:rPr>
          <w:color w:val="000000"/>
        </w:rPr>
        <w:t>Z.,</w:t>
      </w:r>
      <w:r>
        <w:rPr>
          <w:color w:val="000000"/>
          <w:spacing w:val="1"/>
        </w:rPr>
        <w:t> </w:t>
      </w:r>
      <w:r>
        <w:rPr>
          <w:color w:val="000000"/>
        </w:rPr>
        <w:t>&amp;</w:t>
      </w:r>
      <w:r>
        <w:rPr>
          <w:color w:val="000000"/>
          <w:spacing w:val="-3"/>
        </w:rPr>
        <w:t> </w:t>
      </w:r>
      <w:r>
        <w:rPr>
          <w:color w:val="000000"/>
        </w:rPr>
        <w:t>Sutton, J.,</w:t>
      </w:r>
      <w:r>
        <w:rPr>
          <w:color w:val="000000"/>
          <w:spacing w:val="-1"/>
        </w:rPr>
        <w:t> </w:t>
      </w:r>
      <w:r>
        <w:rPr>
          <w:color w:val="000000"/>
        </w:rPr>
        <w:t>2014);</w:t>
      </w:r>
      <w:r>
        <w:rPr>
          <w:color w:val="000000"/>
          <w:spacing w:val="-1"/>
        </w:rPr>
        <w:t> </w:t>
      </w:r>
      <w:r>
        <w:rPr>
          <w:color w:val="000000"/>
        </w:rPr>
        <w:t>therefore, it</w:t>
      </w:r>
      <w:r>
        <w:rPr>
          <w:color w:val="000000"/>
          <w:spacing w:val="-1"/>
        </w:rPr>
        <w:t> </w:t>
      </w:r>
      <w:r>
        <w:rPr>
          <w:color w:val="000000"/>
        </w:rPr>
        <w:t>provides</w:t>
      </w:r>
      <w:r>
        <w:rPr>
          <w:color w:val="000000"/>
          <w:spacing w:val="-1"/>
        </w:rPr>
        <w:t> </w:t>
      </w:r>
      <w:r>
        <w:rPr>
          <w:color w:val="000000"/>
        </w:rPr>
        <w:t>the tools</w:t>
      </w:r>
      <w:r>
        <w:rPr>
          <w:color w:val="000000"/>
          <w:spacing w:val="-1"/>
        </w:rPr>
        <w:t> </w:t>
      </w:r>
      <w:r>
        <w:rPr>
          <w:color w:val="000000"/>
        </w:rPr>
        <w:t>to micro-focus</w:t>
      </w:r>
      <w:r>
        <w:rPr>
          <w:color w:val="000000"/>
          <w:spacing w:val="-1"/>
        </w:rPr>
        <w:t> </w:t>
      </w:r>
      <w:r>
        <w:rPr>
          <w:color w:val="000000"/>
        </w:rPr>
        <w:t>the</w:t>
      </w:r>
      <w:r>
        <w:rPr>
          <w:color w:val="000000"/>
          <w:spacing w:val="-2"/>
        </w:rPr>
        <w:t> </w:t>
      </w:r>
      <w:r>
        <w:rPr>
          <w:color w:val="000000"/>
        </w:rPr>
        <w:t>research to</w:t>
      </w:r>
      <w:r>
        <w:rPr>
          <w:color w:val="000000"/>
          <w:spacing w:val="-1"/>
        </w:rPr>
        <w:t> </w:t>
      </w:r>
      <w:r>
        <w:rPr>
          <w:color w:val="000000"/>
        </w:rPr>
        <w:t>specific</w:t>
      </w:r>
    </w:p>
    <w:p>
      <w:pPr>
        <w:spacing w:after="0" w:line="477" w:lineRule="auto"/>
        <w:sectPr>
          <w:pgSz w:w="12240" w:h="15840"/>
          <w:pgMar w:top="1360" w:bottom="280" w:left="1220" w:right="1180"/>
        </w:sectPr>
      </w:pPr>
    </w:p>
    <w:p>
      <w:pPr>
        <w:pStyle w:val="BodyText"/>
        <w:spacing w:before="74"/>
      </w:pPr>
      <w:r>
        <w:rPr/>
        <w:t>needs</w:t>
      </w:r>
      <w:r>
        <w:rPr>
          <w:spacing w:val="-1"/>
        </w:rPr>
        <w:t> </w:t>
      </w:r>
      <w:r>
        <w:rPr/>
        <w:t>and</w:t>
      </w:r>
      <w:r>
        <w:rPr>
          <w:spacing w:val="2"/>
        </w:rPr>
        <w:t> </w:t>
      </w:r>
      <w:r>
        <w:rPr/>
        <w:t>goals.</w:t>
      </w:r>
      <w:r>
        <w:rPr>
          <w:spacing w:val="59"/>
        </w:rPr>
        <w:t> </w:t>
      </w:r>
      <w:r>
        <w:rPr>
          <w:color w:val="000000"/>
          <w:shd w:fill="FBFBFB" w:color="auto" w:val="clear"/>
        </w:rPr>
        <w:t>The</w:t>
      </w:r>
      <w:r>
        <w:rPr>
          <w:color w:val="000000"/>
          <w:spacing w:val="-1"/>
          <w:shd w:fill="FBFBFB" w:color="auto" w:val="clear"/>
        </w:rPr>
        <w:t> </w:t>
      </w:r>
      <w:r>
        <w:rPr>
          <w:color w:val="000000"/>
          <w:shd w:fill="FBFBFB" w:color="auto" w:val="clear"/>
        </w:rPr>
        <w:t>methodology</w:t>
      </w:r>
      <w:r>
        <w:rPr>
          <w:color w:val="000000"/>
          <w:spacing w:val="-5"/>
          <w:shd w:fill="FBFBFB" w:color="auto" w:val="clear"/>
        </w:rPr>
        <w:t> </w:t>
      </w:r>
      <w:r>
        <w:rPr>
          <w:color w:val="000000"/>
          <w:shd w:fill="FBFBFB" w:color="auto" w:val="clear"/>
        </w:rPr>
        <w:t>and fundamental</w:t>
      </w:r>
      <w:r>
        <w:rPr>
          <w:color w:val="000000"/>
          <w:spacing w:val="-1"/>
          <w:shd w:fill="FBFBFB" w:color="auto" w:val="clear"/>
        </w:rPr>
        <w:t> </w:t>
      </w:r>
      <w:r>
        <w:rPr>
          <w:color w:val="000000"/>
          <w:shd w:fill="FBFBFB" w:color="auto" w:val="clear"/>
        </w:rPr>
        <w:t>nature</w:t>
      </w:r>
      <w:r>
        <w:rPr>
          <w:color w:val="000000"/>
          <w:spacing w:val="-2"/>
          <w:shd w:fill="FBFBFB" w:color="auto" w:val="clear"/>
        </w:rPr>
        <w:t> </w:t>
      </w:r>
      <w:r>
        <w:rPr>
          <w:color w:val="000000"/>
          <w:shd w:fill="FBFBFB" w:color="auto" w:val="clear"/>
        </w:rPr>
        <w:t>of knowledge</w:t>
      </w:r>
      <w:r>
        <w:rPr>
          <w:color w:val="000000"/>
          <w:spacing w:val="-2"/>
          <w:shd w:fill="FBFBFB" w:color="auto" w:val="clear"/>
        </w:rPr>
        <w:t> </w:t>
      </w:r>
      <w:r>
        <w:rPr>
          <w:color w:val="000000"/>
          <w:shd w:fill="FBFBFB" w:color="auto" w:val="clear"/>
        </w:rPr>
        <w:t>of the</w:t>
      </w:r>
      <w:r>
        <w:rPr>
          <w:color w:val="000000"/>
          <w:spacing w:val="-2"/>
          <w:shd w:fill="FBFBFB" w:color="auto" w:val="clear"/>
        </w:rPr>
        <w:t> </w:t>
      </w:r>
      <w:r>
        <w:rPr>
          <w:color w:val="000000"/>
          <w:shd w:fill="FBFBFB" w:color="auto" w:val="clear"/>
        </w:rPr>
        <w:t>dwellers‘</w:t>
      </w:r>
    </w:p>
    <w:p>
      <w:pPr>
        <w:pStyle w:val="BodyText"/>
        <w:ind w:left="0"/>
        <w:rPr>
          <w:sz w:val="16"/>
        </w:rPr>
      </w:pPr>
    </w:p>
    <w:p>
      <w:pPr>
        <w:pStyle w:val="BodyText"/>
        <w:spacing w:before="90"/>
      </w:pPr>
      <w:r>
        <w:rPr>
          <w:color w:val="000000"/>
          <w:shd w:fill="FBFBFB" w:color="auto" w:val="clear"/>
        </w:rPr>
        <w:t>experiences</w:t>
      </w:r>
      <w:r>
        <w:rPr>
          <w:color w:val="000000"/>
          <w:spacing w:val="-1"/>
          <w:shd w:fill="FBFBFB" w:color="auto" w:val="clear"/>
        </w:rPr>
        <w:t> </w:t>
      </w:r>
      <w:r>
        <w:rPr>
          <w:color w:val="000000"/>
          <w:shd w:fill="FBFBFB" w:color="auto" w:val="clear"/>
        </w:rPr>
        <w:t>provide</w:t>
      </w:r>
      <w:r>
        <w:rPr>
          <w:color w:val="000000"/>
          <w:spacing w:val="-1"/>
          <w:shd w:fill="FBFBFB" w:color="auto" w:val="clear"/>
        </w:rPr>
        <w:t> </w:t>
      </w:r>
      <w:r>
        <w:rPr>
          <w:color w:val="000000"/>
          <w:shd w:fill="FBFBFB" w:color="auto" w:val="clear"/>
        </w:rPr>
        <w:t>the</w:t>
      </w:r>
      <w:r>
        <w:rPr>
          <w:color w:val="000000"/>
          <w:spacing w:val="1"/>
          <w:shd w:fill="FBFBFB" w:color="auto" w:val="clear"/>
        </w:rPr>
        <w:t> </w:t>
      </w:r>
      <w:r>
        <w:rPr>
          <w:color w:val="000000"/>
          <w:shd w:fill="FBFBFB" w:color="auto" w:val="clear"/>
        </w:rPr>
        <w:t>understanding</w:t>
      </w:r>
      <w:r>
        <w:rPr>
          <w:color w:val="000000"/>
          <w:spacing w:val="-3"/>
          <w:shd w:fill="FBFBFB" w:color="auto" w:val="clear"/>
        </w:rPr>
        <w:t> </w:t>
      </w:r>
      <w:r>
        <w:rPr>
          <w:color w:val="000000"/>
          <w:shd w:fill="FBFBFB" w:color="auto" w:val="clear"/>
        </w:rPr>
        <w:t>of coping</w:t>
      </w:r>
      <w:r>
        <w:rPr>
          <w:color w:val="000000"/>
          <w:spacing w:val="-1"/>
          <w:shd w:fill="FBFBFB" w:color="auto" w:val="clear"/>
        </w:rPr>
        <w:t> </w:t>
      </w:r>
      <w:r>
        <w:rPr>
          <w:color w:val="000000"/>
          <w:shd w:fill="FBFBFB" w:color="auto" w:val="clear"/>
        </w:rPr>
        <w:t>cababilities of</w:t>
      </w:r>
      <w:r>
        <w:rPr>
          <w:color w:val="000000"/>
          <w:spacing w:val="-1"/>
          <w:shd w:fill="FBFBFB" w:color="auto" w:val="clear"/>
        </w:rPr>
        <w:t> </w:t>
      </w:r>
      <w:r>
        <w:rPr>
          <w:color w:val="000000"/>
          <w:shd w:fill="FBFBFB" w:color="auto" w:val="clear"/>
        </w:rPr>
        <w:t>urban inabitants and how</w:t>
      </w:r>
      <w:r>
        <w:rPr>
          <w:color w:val="000000"/>
          <w:spacing w:val="-1"/>
          <w:shd w:fill="FBFBFB" w:color="auto" w:val="clear"/>
        </w:rPr>
        <w:t> </w:t>
      </w:r>
      <w:r>
        <w:rPr>
          <w:color w:val="000000"/>
          <w:shd w:fill="FBFBFB" w:color="auto" w:val="clear"/>
        </w:rPr>
        <w:t>they</w:t>
      </w:r>
    </w:p>
    <w:p>
      <w:pPr>
        <w:pStyle w:val="BodyText"/>
        <w:ind w:left="0"/>
        <w:rPr>
          <w:sz w:val="16"/>
        </w:rPr>
      </w:pPr>
    </w:p>
    <w:p>
      <w:pPr>
        <w:pStyle w:val="BodyText"/>
        <w:spacing w:line="477" w:lineRule="auto" w:before="90"/>
        <w:ind w:right="529"/>
      </w:pPr>
      <w:r>
        <w:rPr>
          <w:color w:val="000000"/>
          <w:shd w:fill="FBFBFB" w:color="auto" w:val="clear"/>
        </w:rPr>
        <w:t>construct their lives facing</w:t>
      </w:r>
      <w:r>
        <w:rPr>
          <w:color w:val="000000"/>
          <w:spacing w:val="1"/>
          <w:shd w:fill="FBFBFB" w:color="auto" w:val="clear"/>
        </w:rPr>
        <w:t> </w:t>
      </w:r>
      <w:r>
        <w:rPr>
          <w:color w:val="000000"/>
          <w:shd w:fill="FBFBFB" w:color="auto" w:val="clear"/>
        </w:rPr>
        <w:t>health shocks. A set of quantitative research design applying</w:t>
      </w:r>
      <w:r>
        <w:rPr>
          <w:color w:val="000000"/>
          <w:spacing w:val="1"/>
        </w:rPr>
        <w:t> </w:t>
      </w:r>
      <w:r>
        <w:rPr>
          <w:color w:val="000000"/>
        </w:rPr>
        <w:t>correlational</w:t>
      </w:r>
      <w:r>
        <w:rPr>
          <w:color w:val="000000"/>
          <w:spacing w:val="-1"/>
        </w:rPr>
        <w:t> </w:t>
      </w:r>
      <w:r>
        <w:rPr>
          <w:color w:val="000000"/>
        </w:rPr>
        <w:t>study</w:t>
      </w:r>
      <w:r>
        <w:rPr>
          <w:color w:val="000000"/>
          <w:spacing w:val="54"/>
        </w:rPr>
        <w:t> </w:t>
      </w:r>
      <w:r>
        <w:rPr>
          <w:color w:val="000000"/>
        </w:rPr>
        <w:t>is</w:t>
      </w:r>
      <w:r>
        <w:rPr>
          <w:color w:val="000000"/>
          <w:spacing w:val="-1"/>
        </w:rPr>
        <w:t> </w:t>
      </w:r>
      <w:r>
        <w:rPr>
          <w:color w:val="000000"/>
        </w:rPr>
        <w:t>used</w:t>
      </w:r>
      <w:r>
        <w:rPr>
          <w:color w:val="000000"/>
          <w:spacing w:val="2"/>
        </w:rPr>
        <w:t> </w:t>
      </w:r>
      <w:r>
        <w:rPr>
          <w:color w:val="000000"/>
        </w:rPr>
        <w:t>in</w:t>
      </w:r>
      <w:r>
        <w:rPr>
          <w:color w:val="000000"/>
          <w:spacing w:val="-1"/>
        </w:rPr>
        <w:t> </w:t>
      </w:r>
      <w:r>
        <w:rPr>
          <w:color w:val="000000"/>
        </w:rPr>
        <w:t>this research</w:t>
      </w:r>
      <w:r>
        <w:rPr>
          <w:color w:val="000000"/>
          <w:spacing w:val="-1"/>
        </w:rPr>
        <w:t> </w:t>
      </w:r>
      <w:r>
        <w:rPr>
          <w:color w:val="000000"/>
        </w:rPr>
        <w:t>to</w:t>
      </w:r>
      <w:r>
        <w:rPr>
          <w:color w:val="000000"/>
          <w:spacing w:val="59"/>
        </w:rPr>
        <w:t> </w:t>
      </w:r>
      <w:r>
        <w:rPr>
          <w:color w:val="000000"/>
        </w:rPr>
        <w:t>identify</w:t>
      </w:r>
      <w:r>
        <w:rPr>
          <w:color w:val="000000"/>
          <w:spacing w:val="-5"/>
        </w:rPr>
        <w:t> </w:t>
      </w:r>
      <w:r>
        <w:rPr>
          <w:color w:val="000000"/>
        </w:rPr>
        <w:t>whether</w:t>
      </w:r>
      <w:r>
        <w:rPr>
          <w:color w:val="000000"/>
          <w:spacing w:val="-1"/>
        </w:rPr>
        <w:t> </w:t>
      </w:r>
      <w:r>
        <w:rPr>
          <w:color w:val="000000"/>
        </w:rPr>
        <w:t>any</w:t>
      </w:r>
      <w:r>
        <w:rPr>
          <w:color w:val="000000"/>
          <w:spacing w:val="-5"/>
        </w:rPr>
        <w:t> </w:t>
      </w:r>
      <w:r>
        <w:rPr>
          <w:color w:val="000000"/>
        </w:rPr>
        <w:t>patterns, trends, or</w:t>
      </w:r>
      <w:r>
        <w:rPr>
          <w:color w:val="000000"/>
          <w:spacing w:val="-1"/>
        </w:rPr>
        <w:t> </w:t>
      </w:r>
      <w:r>
        <w:rPr>
          <w:color w:val="000000"/>
        </w:rPr>
        <w:t>insights</w:t>
      </w:r>
      <w:r>
        <w:rPr>
          <w:color w:val="000000"/>
          <w:spacing w:val="-57"/>
        </w:rPr>
        <w:t> </w:t>
      </w:r>
      <w:r>
        <w:rPr>
          <w:color w:val="000000"/>
        </w:rPr>
        <w:t>exist between the particularly susceptible urban population and climate</w:t>
      </w:r>
      <w:r>
        <w:rPr>
          <w:color w:val="000000"/>
          <w:spacing w:val="1"/>
        </w:rPr>
        <w:t> </w:t>
      </w:r>
      <w:r>
        <w:rPr>
          <w:color w:val="000000"/>
        </w:rPr>
        <w:t>health risks variables</w:t>
      </w:r>
      <w:r>
        <w:rPr>
          <w:color w:val="000000"/>
          <w:spacing w:val="1"/>
        </w:rPr>
        <w:t> </w:t>
      </w:r>
      <w:r>
        <w:rPr>
          <w:color w:val="000000"/>
        </w:rPr>
        <w:t>such as the risks of injuries and deaths from extreme events, heat-waves, storms, and floods,</w:t>
      </w:r>
      <w:r>
        <w:rPr>
          <w:color w:val="000000"/>
          <w:spacing w:val="1"/>
        </w:rPr>
        <w:t> </w:t>
      </w:r>
      <w:r>
        <w:rPr>
          <w:color w:val="000000"/>
        </w:rPr>
        <w:t>infectious</w:t>
      </w:r>
      <w:r>
        <w:rPr>
          <w:color w:val="000000"/>
          <w:spacing w:val="-1"/>
        </w:rPr>
        <w:t> </w:t>
      </w:r>
      <w:r>
        <w:rPr>
          <w:color w:val="000000"/>
        </w:rPr>
        <w:t>diseases</w:t>
      </w:r>
      <w:r>
        <w:rPr>
          <w:color w:val="000000"/>
          <w:spacing w:val="-1"/>
        </w:rPr>
        <w:t> </w:t>
      </w:r>
      <w:r>
        <w:rPr>
          <w:color w:val="000000"/>
        </w:rPr>
        <w:t>including</w:t>
      </w:r>
      <w:r>
        <w:rPr>
          <w:color w:val="000000"/>
          <w:spacing w:val="-2"/>
        </w:rPr>
        <w:t> </w:t>
      </w:r>
      <w:r>
        <w:rPr>
          <w:color w:val="000000"/>
        </w:rPr>
        <w:t>food,</w:t>
      </w:r>
      <w:r>
        <w:rPr>
          <w:color w:val="000000"/>
          <w:spacing w:val="-1"/>
        </w:rPr>
        <w:t> </w:t>
      </w:r>
      <w:r>
        <w:rPr>
          <w:color w:val="000000"/>
        </w:rPr>
        <w:t>water,</w:t>
      </w:r>
      <w:r>
        <w:rPr>
          <w:color w:val="000000"/>
          <w:spacing w:val="2"/>
        </w:rPr>
        <w:t> </w:t>
      </w:r>
      <w:r>
        <w:rPr>
          <w:color w:val="000000"/>
        </w:rPr>
        <w:t>and</w:t>
      </w:r>
      <w:r>
        <w:rPr>
          <w:color w:val="000000"/>
          <w:spacing w:val="-1"/>
        </w:rPr>
        <w:t> </w:t>
      </w:r>
      <w:r>
        <w:rPr>
          <w:color w:val="000000"/>
        </w:rPr>
        <w:t>vector-borne</w:t>
      </w:r>
      <w:r>
        <w:rPr>
          <w:color w:val="000000"/>
          <w:spacing w:val="-3"/>
        </w:rPr>
        <w:t> </w:t>
      </w:r>
      <w:r>
        <w:rPr>
          <w:color w:val="000000"/>
        </w:rPr>
        <w:t>illnesses,</w:t>
      </w:r>
      <w:r>
        <w:rPr>
          <w:color w:val="000000"/>
          <w:spacing w:val="2"/>
        </w:rPr>
        <w:t> </w:t>
      </w:r>
      <w:r>
        <w:rPr>
          <w:color w:val="000000"/>
        </w:rPr>
        <w:t>and</w:t>
      </w:r>
      <w:r>
        <w:rPr>
          <w:color w:val="000000"/>
          <w:spacing w:val="-1"/>
        </w:rPr>
        <w:t> </w:t>
      </w:r>
      <w:r>
        <w:rPr>
          <w:color w:val="000000"/>
        </w:rPr>
        <w:t>food and</w:t>
      </w:r>
      <w:r>
        <w:rPr>
          <w:color w:val="000000"/>
          <w:spacing w:val="-1"/>
        </w:rPr>
        <w:t> </w:t>
      </w:r>
      <w:r>
        <w:rPr>
          <w:color w:val="000000"/>
        </w:rPr>
        <w:t>water</w:t>
      </w:r>
    </w:p>
    <w:p>
      <w:pPr>
        <w:pStyle w:val="BodyText"/>
        <w:spacing w:line="477" w:lineRule="auto" w:before="2"/>
        <w:ind w:right="339"/>
      </w:pPr>
      <w:r>
        <w:rPr/>
        <w:t>insecurity</w:t>
      </w:r>
      <w:r>
        <w:rPr>
          <w:spacing w:val="-4"/>
        </w:rPr>
        <w:t> </w:t>
      </w:r>
      <w:r>
        <w:rPr/>
        <w:t>as</w:t>
      </w:r>
      <w:r>
        <w:rPr>
          <w:spacing w:val="-1"/>
        </w:rPr>
        <w:t> </w:t>
      </w:r>
      <w:r>
        <w:rPr/>
        <w:t>well</w:t>
      </w:r>
      <w:r>
        <w:rPr>
          <w:spacing w:val="-1"/>
        </w:rPr>
        <w:t> </w:t>
      </w:r>
      <w:r>
        <w:rPr/>
        <w:t>as</w:t>
      </w:r>
      <w:r>
        <w:rPr>
          <w:spacing w:val="59"/>
        </w:rPr>
        <w:t> </w:t>
      </w:r>
      <w:r>
        <w:rPr/>
        <w:t>mental health</w:t>
      </w:r>
      <w:r>
        <w:rPr>
          <w:spacing w:val="-1"/>
        </w:rPr>
        <w:t> </w:t>
      </w:r>
      <w:r>
        <w:rPr/>
        <w:t>issues</w:t>
      </w:r>
      <w:r>
        <w:rPr>
          <w:spacing w:val="-1"/>
        </w:rPr>
        <w:t> </w:t>
      </w:r>
      <w:r>
        <w:rPr/>
        <w:t>such</w:t>
      </w:r>
      <w:r>
        <w:rPr>
          <w:spacing w:val="-1"/>
        </w:rPr>
        <w:t> </w:t>
      </w:r>
      <w:r>
        <w:rPr/>
        <w:t>as</w:t>
      </w:r>
      <w:r>
        <w:rPr>
          <w:spacing w:val="2"/>
        </w:rPr>
        <w:t> </w:t>
      </w:r>
      <w:r>
        <w:rPr/>
        <w:t>PTSD,</w:t>
      </w:r>
      <w:r>
        <w:rPr>
          <w:spacing w:val="-1"/>
        </w:rPr>
        <w:t> </w:t>
      </w:r>
      <w:r>
        <w:rPr/>
        <w:t>anxiety, </w:t>
      </w:r>
      <w:r>
        <w:rPr>
          <w:color w:val="000000"/>
          <w:shd w:fill="FBFBFB" w:color="auto" w:val="clear"/>
        </w:rPr>
        <w:t>etc.,</w:t>
      </w:r>
      <w:r>
        <w:rPr>
          <w:color w:val="000000"/>
          <w:spacing w:val="-1"/>
          <w:shd w:fill="FBFBFB" w:color="auto" w:val="clear"/>
        </w:rPr>
        <w:t> </w:t>
      </w:r>
      <w:r>
        <w:rPr>
          <w:color w:val="000000"/>
          <w:shd w:fill="FBFBFB" w:color="auto" w:val="clear"/>
        </w:rPr>
        <w:t>t</w:t>
      </w:r>
      <w:r>
        <w:rPr>
          <w:color w:val="000000"/>
        </w:rPr>
        <w:t>o</w:t>
      </w:r>
      <w:r>
        <w:rPr>
          <w:color w:val="000000"/>
          <w:spacing w:val="-1"/>
        </w:rPr>
        <w:t> </w:t>
      </w:r>
      <w:r>
        <w:rPr>
          <w:color w:val="000000"/>
        </w:rPr>
        <w:t>obtain</w:t>
      </w:r>
      <w:r>
        <w:rPr>
          <w:color w:val="000000"/>
          <w:spacing w:val="-1"/>
        </w:rPr>
        <w:t> </w:t>
      </w:r>
      <w:r>
        <w:rPr>
          <w:color w:val="000000"/>
        </w:rPr>
        <w:t>a</w:t>
      </w:r>
      <w:r>
        <w:rPr>
          <w:color w:val="000000"/>
          <w:spacing w:val="-2"/>
        </w:rPr>
        <w:t> </w:t>
      </w:r>
      <w:r>
        <w:rPr>
          <w:color w:val="000000"/>
        </w:rPr>
        <w:t>wider</w:t>
      </w:r>
      <w:r>
        <w:rPr>
          <w:color w:val="000000"/>
          <w:spacing w:val="-1"/>
        </w:rPr>
        <w:t> </w:t>
      </w:r>
      <w:r>
        <w:rPr>
          <w:color w:val="000000"/>
        </w:rPr>
        <w:t>range</w:t>
      </w:r>
      <w:r>
        <w:rPr>
          <w:color w:val="000000"/>
          <w:spacing w:val="-2"/>
        </w:rPr>
        <w:t> </w:t>
      </w:r>
      <w:r>
        <w:rPr>
          <w:color w:val="000000"/>
        </w:rPr>
        <w:t>of</w:t>
      </w:r>
      <w:r>
        <w:rPr>
          <w:color w:val="000000"/>
          <w:spacing w:val="-57"/>
        </w:rPr>
        <w:t> </w:t>
      </w:r>
      <w:r>
        <w:rPr>
          <w:color w:val="000000"/>
        </w:rPr>
        <w:t>urban dwellers‘ statistics from urban areas- randomly selected from</w:t>
      </w:r>
      <w:r>
        <w:rPr>
          <w:color w:val="000000"/>
          <w:spacing w:val="1"/>
        </w:rPr>
        <w:t> </w:t>
      </w:r>
      <w:r>
        <w:rPr>
          <w:color w:val="000000"/>
        </w:rPr>
        <w:t>New Delhi and Rio de</w:t>
      </w:r>
      <w:r>
        <w:rPr>
          <w:color w:val="000000"/>
          <w:spacing w:val="1"/>
        </w:rPr>
        <w:t> </w:t>
      </w:r>
      <w:r>
        <w:rPr>
          <w:color w:val="000000"/>
        </w:rPr>
        <w:t>Janeiro‘ slum areas. The quantitative empirical research apllied to this studies of observable and</w:t>
      </w:r>
      <w:r>
        <w:rPr>
          <w:color w:val="000000"/>
          <w:spacing w:val="-57"/>
        </w:rPr>
        <w:t> </w:t>
      </w:r>
      <w:r>
        <w:rPr>
          <w:color w:val="000000"/>
        </w:rPr>
        <w:t>measurable variables provides a prediction of outcomes, and determine relationships between</w:t>
      </w:r>
      <w:r>
        <w:rPr>
          <w:color w:val="000000"/>
          <w:spacing w:val="1"/>
        </w:rPr>
        <w:t> </w:t>
      </w:r>
      <w:r>
        <w:rPr>
          <w:color w:val="000000"/>
        </w:rPr>
        <w:t>and</w:t>
      </w:r>
      <w:r>
        <w:rPr>
          <w:color w:val="000000"/>
          <w:spacing w:val="-1"/>
        </w:rPr>
        <w:t> </w:t>
      </w:r>
      <w:r>
        <w:rPr>
          <w:color w:val="000000"/>
        </w:rPr>
        <w:t>among</w:t>
      </w:r>
      <w:r>
        <w:rPr>
          <w:color w:val="000000"/>
          <w:spacing w:val="-3"/>
        </w:rPr>
        <w:t> </w:t>
      </w:r>
      <w:r>
        <w:rPr>
          <w:color w:val="000000"/>
        </w:rPr>
        <w:t>variables using</w:t>
      </w:r>
      <w:r>
        <w:rPr>
          <w:color w:val="000000"/>
          <w:spacing w:val="-3"/>
        </w:rPr>
        <w:t> </w:t>
      </w:r>
      <w:r>
        <w:rPr>
          <w:color w:val="000000"/>
        </w:rPr>
        <w:t>statistical analysis.</w:t>
      </w:r>
    </w:p>
    <w:p>
      <w:pPr>
        <w:pStyle w:val="BodyText"/>
        <w:spacing w:before="2"/>
      </w:pPr>
      <w:r>
        <w:rPr>
          <w:color w:val="000000"/>
          <w:shd w:fill="FBFBFB" w:color="auto" w:val="clear"/>
        </w:rPr>
        <w:t>Study</w:t>
      </w:r>
      <w:r>
        <w:rPr>
          <w:color w:val="000000"/>
          <w:spacing w:val="-8"/>
          <w:shd w:fill="FBFBFB" w:color="auto" w:val="clear"/>
        </w:rPr>
        <w:t> </w:t>
      </w:r>
      <w:r>
        <w:rPr>
          <w:color w:val="000000"/>
          <w:shd w:fill="FBFBFB" w:color="auto" w:val="clear"/>
        </w:rPr>
        <w:t>Site: New Delhi,</w:t>
      </w:r>
      <w:r>
        <w:rPr>
          <w:color w:val="000000"/>
          <w:spacing w:val="1"/>
          <w:shd w:fill="FBFBFB" w:color="auto" w:val="clear"/>
        </w:rPr>
        <w:t> </w:t>
      </w:r>
      <w:r>
        <w:rPr>
          <w:color w:val="000000"/>
          <w:shd w:fill="FBFBFB" w:color="auto" w:val="clear"/>
        </w:rPr>
        <w:t>and Rio de</w:t>
      </w:r>
      <w:r>
        <w:rPr>
          <w:color w:val="000000"/>
          <w:spacing w:val="-1"/>
          <w:shd w:fill="FBFBFB" w:color="auto" w:val="clear"/>
        </w:rPr>
        <w:t> </w:t>
      </w:r>
      <w:r>
        <w:rPr>
          <w:color w:val="000000"/>
          <w:shd w:fill="FBFBFB" w:color="auto" w:val="clear"/>
        </w:rPr>
        <w:t>Janeiro.</w:t>
      </w:r>
    </w:p>
    <w:p>
      <w:pPr>
        <w:pStyle w:val="BodyText"/>
        <w:ind w:left="0"/>
        <w:rPr>
          <w:sz w:val="16"/>
        </w:rPr>
      </w:pPr>
    </w:p>
    <w:p>
      <w:pPr>
        <w:pStyle w:val="BodyText"/>
        <w:spacing w:line="477" w:lineRule="auto" w:before="90"/>
        <w:ind w:right="389"/>
      </w:pPr>
      <w:r>
        <w:rPr>
          <w:color w:val="000000"/>
          <w:shd w:fill="FBFBFB" w:color="auto" w:val="clear"/>
        </w:rPr>
        <w:t>Urban Poverty Sampling: The participants are selected and </w:t>
      </w:r>
      <w:r>
        <w:rPr>
          <w:color w:val="000000"/>
        </w:rPr>
        <w:t>defined in two ways: as an absolute</w:t>
      </w:r>
      <w:r>
        <w:rPr>
          <w:color w:val="000000"/>
          <w:spacing w:val="1"/>
        </w:rPr>
        <w:t> </w:t>
      </w:r>
      <w:r>
        <w:rPr>
          <w:color w:val="000000"/>
        </w:rPr>
        <w:t>standard based on a minimum amount of income needed to sustain a healthy and minimally</w:t>
      </w:r>
      <w:r>
        <w:rPr>
          <w:color w:val="000000"/>
          <w:spacing w:val="1"/>
        </w:rPr>
        <w:t> </w:t>
      </w:r>
      <w:r>
        <w:rPr>
          <w:color w:val="000000"/>
        </w:rPr>
        <w:t>comfortable life, and as a relative standard that is set based on average the standard of living</w:t>
      </w:r>
      <w:r>
        <w:rPr>
          <w:color w:val="000000"/>
          <w:spacing w:val="1"/>
        </w:rPr>
        <w:t> </w:t>
      </w:r>
      <w:r>
        <w:rPr>
          <w:color w:val="000000"/>
        </w:rPr>
        <w:t>facing a set of economic and social difficulties that are found in industrialized cities (McDonald</w:t>
      </w:r>
      <w:r>
        <w:rPr>
          <w:color w:val="000000"/>
          <w:spacing w:val="-58"/>
        </w:rPr>
        <w:t> </w:t>
      </w:r>
      <w:r>
        <w:rPr>
          <w:color w:val="000000"/>
        </w:rPr>
        <w:t>&amp; McMillen, 2008;</w:t>
      </w:r>
      <w:r>
        <w:rPr>
          <w:color w:val="000000"/>
          <w:spacing w:val="1"/>
        </w:rPr>
        <w:t> </w:t>
      </w:r>
      <w:r>
        <w:rPr>
          <w:color w:val="000000"/>
        </w:rPr>
        <w:t>Hila, 2020 ).</w:t>
      </w:r>
      <w:r>
        <w:rPr>
          <w:color w:val="000000"/>
          <w:spacing w:val="1"/>
        </w:rPr>
        <w:t> </w:t>
      </w:r>
      <w:r>
        <w:rPr>
          <w:color w:val="000000"/>
        </w:rPr>
        <w:t>The urban settings‘ considerations are their prepardness to</w:t>
      </w:r>
      <w:r>
        <w:rPr>
          <w:color w:val="000000"/>
          <w:spacing w:val="1"/>
        </w:rPr>
        <w:t> </w:t>
      </w:r>
      <w:r>
        <w:rPr>
          <w:color w:val="000000"/>
        </w:rPr>
        <w:t>cope</w:t>
      </w:r>
      <w:r>
        <w:rPr>
          <w:color w:val="000000"/>
          <w:spacing w:val="-2"/>
        </w:rPr>
        <w:t> </w:t>
      </w:r>
      <w:r>
        <w:rPr>
          <w:color w:val="000000"/>
        </w:rPr>
        <w:t>with</w:t>
      </w:r>
      <w:r>
        <w:rPr>
          <w:color w:val="000000"/>
          <w:spacing w:val="-1"/>
        </w:rPr>
        <w:t> </w:t>
      </w:r>
      <w:r>
        <w:rPr>
          <w:color w:val="000000"/>
        </w:rPr>
        <w:t>climatic</w:t>
      </w:r>
      <w:r>
        <w:rPr>
          <w:color w:val="000000"/>
          <w:spacing w:val="-2"/>
        </w:rPr>
        <w:t> </w:t>
      </w:r>
      <w:r>
        <w:rPr>
          <w:color w:val="000000"/>
        </w:rPr>
        <w:t>events</w:t>
      </w:r>
      <w:r>
        <w:rPr>
          <w:color w:val="000000"/>
          <w:spacing w:val="2"/>
        </w:rPr>
        <w:t> </w:t>
      </w:r>
      <w:r>
        <w:rPr>
          <w:color w:val="000000"/>
        </w:rPr>
        <w:t>affecting</w:t>
      </w:r>
      <w:r>
        <w:rPr>
          <w:color w:val="000000"/>
          <w:spacing w:val="-4"/>
        </w:rPr>
        <w:t> </w:t>
      </w:r>
      <w:r>
        <w:rPr>
          <w:color w:val="000000"/>
        </w:rPr>
        <w:t>their</w:t>
      </w:r>
      <w:r>
        <w:rPr>
          <w:color w:val="000000"/>
          <w:spacing w:val="2"/>
        </w:rPr>
        <w:t> </w:t>
      </w:r>
      <w:r>
        <w:rPr>
          <w:color w:val="000000"/>
        </w:rPr>
        <w:t>health</w:t>
      </w:r>
      <w:r>
        <w:rPr>
          <w:color w:val="000000"/>
          <w:spacing w:val="-1"/>
        </w:rPr>
        <w:t> </w:t>
      </w:r>
      <w:r>
        <w:rPr>
          <w:color w:val="000000"/>
        </w:rPr>
        <w:t>and</w:t>
      </w:r>
      <w:r>
        <w:rPr>
          <w:color w:val="000000"/>
          <w:spacing w:val="-1"/>
        </w:rPr>
        <w:t> </w:t>
      </w:r>
      <w:r>
        <w:rPr>
          <w:color w:val="000000"/>
        </w:rPr>
        <w:t>disaster</w:t>
      </w:r>
      <w:r>
        <w:rPr>
          <w:color w:val="000000"/>
          <w:spacing w:val="-2"/>
        </w:rPr>
        <w:t> </w:t>
      </w:r>
      <w:r>
        <w:rPr>
          <w:color w:val="000000"/>
        </w:rPr>
        <w:t>resilience</w:t>
      </w:r>
      <w:r>
        <w:rPr>
          <w:color w:val="000000"/>
          <w:spacing w:val="-1"/>
        </w:rPr>
        <w:t> </w:t>
      </w:r>
      <w:r>
        <w:rPr>
          <w:color w:val="000000"/>
        </w:rPr>
        <w:t>capabilities.</w:t>
      </w:r>
      <w:r>
        <w:rPr>
          <w:color w:val="000000"/>
          <w:spacing w:val="-1"/>
        </w:rPr>
        <w:t> </w:t>
      </w:r>
      <w:r>
        <w:rPr>
          <w:color w:val="000000"/>
        </w:rPr>
        <w:t>Establishing</w:t>
      </w:r>
    </w:p>
    <w:p>
      <w:pPr>
        <w:pStyle w:val="BodyText"/>
        <w:ind w:left="0"/>
        <w:rPr>
          <w:sz w:val="26"/>
        </w:rPr>
      </w:pPr>
    </w:p>
    <w:p>
      <w:pPr>
        <w:pStyle w:val="BodyText"/>
        <w:spacing w:before="1"/>
        <w:ind w:left="0"/>
        <w:rPr>
          <w:sz w:val="22"/>
        </w:rPr>
      </w:pPr>
    </w:p>
    <w:p>
      <w:pPr>
        <w:pStyle w:val="BodyText"/>
        <w:spacing w:line="477" w:lineRule="auto"/>
        <w:ind w:right="262"/>
      </w:pPr>
      <w:r>
        <w:rPr/>
        <w:t>integrity and authenticity in these studies is achieved by setting</w:t>
      </w:r>
      <w:r>
        <w:rPr>
          <w:spacing w:val="1"/>
        </w:rPr>
        <w:t> </w:t>
      </w:r>
      <w:r>
        <w:rPr/>
        <w:t>prolonged engagement, within</w:t>
      </w:r>
      <w:r>
        <w:rPr>
          <w:spacing w:val="-57"/>
        </w:rPr>
        <w:t> </w:t>
      </w:r>
      <w:r>
        <w:rPr/>
        <w:t>two decades, </w:t>
      </w:r>
      <w:r>
        <w:rPr>
          <w:b/>
        </w:rPr>
        <w:t>c</w:t>
      </w:r>
      <w:r>
        <w:rPr/>
        <w:t>ollecting sufficient data to have an in-depth understanding of the particular</w:t>
      </w:r>
      <w:r>
        <w:rPr>
          <w:spacing w:val="1"/>
        </w:rPr>
        <w:t> </w:t>
      </w:r>
      <w:r>
        <w:rPr/>
        <w:t>demographic group</w:t>
      </w:r>
      <w:r>
        <w:rPr>
          <w:spacing w:val="-1"/>
        </w:rPr>
        <w:t> </w:t>
      </w:r>
      <w:r>
        <w:rPr/>
        <w:t>under study.</w:t>
      </w:r>
    </w:p>
    <w:p>
      <w:pPr>
        <w:spacing w:after="0" w:line="477" w:lineRule="auto"/>
        <w:sectPr>
          <w:pgSz w:w="12240" w:h="15840"/>
          <w:pgMar w:top="1360" w:bottom="280" w:left="1220" w:right="1180"/>
        </w:sectPr>
      </w:pPr>
    </w:p>
    <w:p>
      <w:pPr>
        <w:pStyle w:val="Heading2"/>
        <w:spacing w:before="39"/>
      </w:pPr>
      <w:r>
        <w:rPr>
          <w:color w:val="000000"/>
          <w:shd w:fill="FBFBFB" w:color="auto" w:val="clear"/>
        </w:rPr>
        <w:t>Data</w:t>
      </w:r>
      <w:r>
        <w:rPr>
          <w:color w:val="000000"/>
          <w:spacing w:val="-3"/>
          <w:shd w:fill="FBFBFB" w:color="auto" w:val="clear"/>
        </w:rPr>
        <w:t> </w:t>
      </w:r>
      <w:r>
        <w:rPr>
          <w:color w:val="000000"/>
          <w:shd w:fill="FBFBFB" w:color="auto" w:val="clear"/>
        </w:rPr>
        <w:t>Analysis</w:t>
      </w:r>
      <w:r>
        <w:rPr>
          <w:color w:val="000000"/>
          <w:spacing w:val="-1"/>
          <w:shd w:fill="FBFBFB" w:color="auto" w:val="clear"/>
        </w:rPr>
        <w:t> </w:t>
      </w:r>
      <w:r>
        <w:rPr>
          <w:color w:val="000000"/>
          <w:shd w:fill="FBFBFB" w:color="auto" w:val="clear"/>
        </w:rPr>
        <w:t>Strategy</w:t>
      </w:r>
    </w:p>
    <w:p>
      <w:pPr>
        <w:pStyle w:val="BodyText"/>
        <w:spacing w:before="5"/>
        <w:ind w:left="0"/>
        <w:rPr>
          <w:rFonts w:ascii="Calibri"/>
          <w:b/>
          <w:sz w:val="23"/>
        </w:rPr>
      </w:pPr>
    </w:p>
    <w:p>
      <w:pPr>
        <w:pStyle w:val="BodyText"/>
        <w:spacing w:line="477" w:lineRule="auto"/>
        <w:ind w:right="260"/>
      </w:pPr>
      <w:r>
        <w:rPr/>
        <w:t>Primary data is collected and analysed over the phone and face to face interviews, taking into</w:t>
      </w:r>
      <w:r>
        <w:rPr>
          <w:spacing w:val="1"/>
        </w:rPr>
        <w:t> </w:t>
      </w:r>
      <w:r>
        <w:rPr/>
        <w:t>consideration</w:t>
      </w:r>
      <w:r>
        <w:rPr>
          <w:spacing w:val="3"/>
        </w:rPr>
        <w:t> </w:t>
      </w:r>
      <w:r>
        <w:rPr/>
        <w:t>a</w:t>
      </w:r>
      <w:r>
        <w:rPr>
          <w:spacing w:val="2"/>
        </w:rPr>
        <w:t> </w:t>
      </w:r>
      <w:r>
        <w:rPr/>
        <w:t>pre-evaluated</w:t>
      </w:r>
      <w:r>
        <w:rPr>
          <w:spacing w:val="3"/>
        </w:rPr>
        <w:t> </w:t>
      </w:r>
      <w:r>
        <w:rPr/>
        <w:t>set</w:t>
      </w:r>
      <w:r>
        <w:rPr>
          <w:spacing w:val="3"/>
        </w:rPr>
        <w:t> </w:t>
      </w:r>
      <w:r>
        <w:rPr/>
        <w:t>of</w:t>
      </w:r>
      <w:r>
        <w:rPr>
          <w:spacing w:val="3"/>
        </w:rPr>
        <w:t> </w:t>
      </w:r>
      <w:r>
        <w:rPr/>
        <w:t>specific</w:t>
      </w:r>
      <w:r>
        <w:rPr>
          <w:spacing w:val="4"/>
        </w:rPr>
        <w:t> </w:t>
      </w:r>
      <w:r>
        <w:rPr/>
        <w:t>questions</w:t>
      </w:r>
      <w:r>
        <w:rPr>
          <w:spacing w:val="3"/>
        </w:rPr>
        <w:t> </w:t>
      </w:r>
      <w:r>
        <w:rPr/>
        <w:t>related</w:t>
      </w:r>
      <w:r>
        <w:rPr>
          <w:spacing w:val="3"/>
        </w:rPr>
        <w:t> </w:t>
      </w:r>
      <w:r>
        <w:rPr/>
        <w:t>to</w:t>
      </w:r>
      <w:r>
        <w:rPr>
          <w:spacing w:val="3"/>
        </w:rPr>
        <w:t> </w:t>
      </w:r>
      <w:r>
        <w:rPr/>
        <w:t>the</w:t>
      </w:r>
      <w:r>
        <w:rPr>
          <w:spacing w:val="2"/>
        </w:rPr>
        <w:t> </w:t>
      </w:r>
      <w:r>
        <w:rPr/>
        <w:t>subject</w:t>
      </w:r>
      <w:r>
        <w:rPr>
          <w:spacing w:val="6"/>
        </w:rPr>
        <w:t> </w:t>
      </w:r>
      <w:r>
        <w:rPr/>
        <w:t>under</w:t>
      </w:r>
      <w:r>
        <w:rPr>
          <w:spacing w:val="3"/>
        </w:rPr>
        <w:t> </w:t>
      </w:r>
      <w:r>
        <w:rPr/>
        <w:t>study.</w:t>
      </w:r>
      <w:r>
        <w:rPr>
          <w:spacing w:val="5"/>
        </w:rPr>
        <w:t> </w:t>
      </w:r>
      <w:r>
        <w:rPr/>
        <w:t>The</w:t>
      </w:r>
      <w:r>
        <w:rPr>
          <w:spacing w:val="1"/>
        </w:rPr>
        <w:t> </w:t>
      </w:r>
      <w:r>
        <w:rPr/>
        <w:t>data collection is compiled through a multi-stage process to clean, organize and validate the data</w:t>
      </w:r>
      <w:r>
        <w:rPr>
          <w:spacing w:val="1"/>
        </w:rPr>
        <w:t> </w:t>
      </w:r>
      <w:r>
        <w:rPr/>
        <w:t>without duplications, invalid or corrupted values (Christen &amp; Goiser, 2007). In addition, online</w:t>
      </w:r>
      <w:r>
        <w:rPr>
          <w:spacing w:val="1"/>
        </w:rPr>
        <w:t> </w:t>
      </w:r>
      <w:r>
        <w:rPr/>
        <w:t>surveys, and focus groups are used to bring together people who are experts in the subject matter,</w:t>
      </w:r>
      <w:r>
        <w:rPr>
          <w:spacing w:val="-58"/>
        </w:rPr>
        <w:t> </w:t>
      </w:r>
      <w:r>
        <w:rPr/>
        <w:t>for</w:t>
      </w:r>
      <w:r>
        <w:rPr>
          <w:spacing w:val="-3"/>
        </w:rPr>
        <w:t> </w:t>
      </w:r>
      <w:r>
        <w:rPr/>
        <w:t>which the</w:t>
      </w:r>
      <w:r>
        <w:rPr>
          <w:spacing w:val="1"/>
        </w:rPr>
        <w:t> </w:t>
      </w:r>
      <w:r>
        <w:rPr/>
        <w:t>research is</w:t>
      </w:r>
      <w:r>
        <w:rPr>
          <w:spacing w:val="2"/>
        </w:rPr>
        <w:t> </w:t>
      </w:r>
      <w:r>
        <w:rPr/>
        <w:t>being</w:t>
      </w:r>
      <w:r>
        <w:rPr>
          <w:spacing w:val="1"/>
        </w:rPr>
        <w:t> </w:t>
      </w:r>
      <w:r>
        <w:rPr/>
        <w:t>conducted (Litosseliti,</w:t>
      </w:r>
      <w:r>
        <w:rPr>
          <w:spacing w:val="-1"/>
        </w:rPr>
        <w:t> </w:t>
      </w:r>
      <w:r>
        <w:rPr/>
        <w:t>2003).</w:t>
      </w:r>
    </w:p>
    <w:p>
      <w:pPr>
        <w:pStyle w:val="BodyText"/>
        <w:spacing w:line="477" w:lineRule="auto" w:before="3"/>
        <w:ind w:right="383"/>
      </w:pPr>
      <w:r>
        <w:rPr/>
        <w:t>Secondary data collection is consucted by a combined search strategy of automated search and</w:t>
      </w:r>
      <w:r>
        <w:rPr>
          <w:spacing w:val="1"/>
        </w:rPr>
        <w:t> </w:t>
      </w:r>
      <w:r>
        <w:rPr/>
        <w:t>hand search of journals and peer-reviewed publications. They include searches of</w:t>
      </w:r>
      <w:r>
        <w:rPr>
          <w:spacing w:val="1"/>
        </w:rPr>
        <w:t> </w:t>
      </w:r>
      <w:r>
        <w:rPr/>
        <w:t>electronic</w:t>
      </w:r>
      <w:r>
        <w:rPr>
          <w:spacing w:val="1"/>
        </w:rPr>
        <w:t> </w:t>
      </w:r>
      <w:r>
        <w:rPr/>
        <w:t>databases PubMed, NHI, Web of Science Core Collection</w:t>
      </w:r>
      <w:r>
        <w:rPr>
          <w:i/>
        </w:rPr>
        <w:t>, </w:t>
      </w:r>
      <w:r>
        <w:rPr/>
        <w:t>Biological Abstracts, Pathogens and</w:t>
      </w:r>
      <w:r>
        <w:rPr>
          <w:spacing w:val="1"/>
        </w:rPr>
        <w:t> </w:t>
      </w:r>
      <w:r>
        <w:rPr/>
        <w:t>Global Health</w:t>
      </w:r>
      <w:r>
        <w:rPr>
          <w:spacing w:val="1"/>
        </w:rPr>
        <w:t> </w:t>
      </w:r>
      <w:r>
        <w:rPr/>
        <w:t>CAB Abstracts and ProQuest Dissertation &amp; Theses A&amp;I, Harvard Digital</w:t>
      </w:r>
      <w:r>
        <w:rPr>
          <w:spacing w:val="1"/>
        </w:rPr>
        <w:t> </w:t>
      </w:r>
      <w:r>
        <w:rPr/>
        <w:t>Library, Globalization and Health,</w:t>
      </w:r>
      <w:r>
        <w:rPr>
          <w:spacing w:val="1"/>
        </w:rPr>
        <w:t> </w:t>
      </w:r>
      <w:r>
        <w:rPr/>
        <w:t>Google Scholar, Elsevier, and applying combinations of the</w:t>
      </w:r>
      <w:r>
        <w:rPr>
          <w:spacing w:val="-58"/>
        </w:rPr>
        <w:t> </w:t>
      </w:r>
      <w:r>
        <w:rPr/>
        <w:t>search terms climat*,</w:t>
      </w:r>
      <w:r>
        <w:rPr>
          <w:spacing w:val="1"/>
        </w:rPr>
        <w:t> </w:t>
      </w:r>
      <w:r>
        <w:rPr/>
        <w:t>health*, adapt*, urban*, low-income-poor*, compounds of climate</w:t>
      </w:r>
      <w:r>
        <w:rPr>
          <w:spacing w:val="1"/>
        </w:rPr>
        <w:t> </w:t>
      </w:r>
      <w:r>
        <w:rPr/>
        <w:t>change, adaptation, adapting, urban climate change, combined with evaluat*, effect*,</w:t>
      </w:r>
      <w:r>
        <w:rPr>
          <w:spacing w:val="1"/>
        </w:rPr>
        <w:t> </w:t>
      </w:r>
      <w:r>
        <w:rPr/>
        <w:t>morbidity*, mortality* and exposure*. Search strings had been pre-tested during a mapping</w:t>
      </w:r>
      <w:r>
        <w:rPr>
          <w:spacing w:val="1"/>
        </w:rPr>
        <w:t> </w:t>
      </w:r>
      <w:r>
        <w:rPr/>
        <w:t>review. Additionally, a manual search of journals related to climatic change impacts on</w:t>
      </w:r>
      <w:r>
        <w:rPr>
          <w:spacing w:val="1"/>
        </w:rPr>
        <w:t> </w:t>
      </w:r>
      <w:r>
        <w:rPr/>
        <w:t>health</w:t>
      </w:r>
      <w:r>
        <w:rPr>
          <w:spacing w:val="1"/>
        </w:rPr>
        <w:t> </w:t>
      </w:r>
      <w:r>
        <w:rPr/>
        <w:t>and urban climate change strategies and management to increase chances of finding articles that</w:t>
      </w:r>
      <w:r>
        <w:rPr>
          <w:spacing w:val="-57"/>
        </w:rPr>
        <w:t> </w:t>
      </w:r>
      <w:r>
        <w:rPr/>
        <w:t>focus on evaluating the current state of climate and health on the</w:t>
      </w:r>
      <w:r>
        <w:rPr>
          <w:spacing w:val="1"/>
        </w:rPr>
        <w:t> </w:t>
      </w:r>
      <w:r>
        <w:rPr/>
        <w:t>urban population and</w:t>
      </w:r>
      <w:r>
        <w:rPr>
          <w:spacing w:val="1"/>
        </w:rPr>
        <w:t> </w:t>
      </w:r>
      <w:r>
        <w:rPr/>
        <w:t>adaptation strategies from a management or urban planning perspective. Secundary search</w:t>
      </w:r>
      <w:r>
        <w:rPr>
          <w:spacing w:val="1"/>
        </w:rPr>
        <w:t> </w:t>
      </w:r>
      <w:r>
        <w:rPr/>
        <w:t>procedures</w:t>
      </w:r>
      <w:r>
        <w:rPr>
          <w:spacing w:val="-1"/>
        </w:rPr>
        <w:t> </w:t>
      </w:r>
      <w:r>
        <w:rPr/>
        <w:t>include</w:t>
      </w:r>
      <w:r>
        <w:rPr>
          <w:spacing w:val="-1"/>
        </w:rPr>
        <w:t> </w:t>
      </w:r>
      <w:r>
        <w:rPr/>
        <w:t>checking</w:t>
      </w:r>
      <w:r>
        <w:rPr>
          <w:spacing w:val="-2"/>
        </w:rPr>
        <w:t> </w:t>
      </w:r>
      <w:r>
        <w:rPr/>
        <w:t>the reference</w:t>
      </w:r>
      <w:r>
        <w:rPr>
          <w:spacing w:val="-1"/>
        </w:rPr>
        <w:t> </w:t>
      </w:r>
      <w:r>
        <w:rPr/>
        <w:t>lists of identified primary</w:t>
      </w:r>
      <w:r>
        <w:rPr>
          <w:spacing w:val="-5"/>
        </w:rPr>
        <w:t> </w:t>
      </w:r>
      <w:r>
        <w:rPr/>
        <w:t>studies.</w:t>
      </w:r>
    </w:p>
    <w:p>
      <w:pPr>
        <w:pStyle w:val="BodyText"/>
        <w:spacing w:line="477" w:lineRule="auto" w:before="9"/>
        <w:ind w:right="349"/>
      </w:pPr>
      <w:r>
        <w:rPr>
          <w:color w:val="000000"/>
          <w:shd w:fill="FBFBFB" w:color="auto" w:val="clear"/>
        </w:rPr>
        <w:t>Data is </w:t>
      </w:r>
      <w:r>
        <w:rPr>
          <w:color w:val="000000"/>
        </w:rPr>
        <w:t>thematically</w:t>
      </w:r>
      <w:r>
        <w:rPr>
          <w:color w:val="000000"/>
          <w:shd w:fill="FBFBFB" w:color="auto" w:val="clear"/>
        </w:rPr>
        <w:t> analysed using the </w:t>
      </w:r>
      <w:r>
        <w:rPr>
          <w:color w:val="000000"/>
        </w:rPr>
        <w:t>constant comparative grounded method (Pawluch, 2005)</w:t>
      </w:r>
      <w:r>
        <w:rPr>
          <w:color w:val="000000"/>
          <w:spacing w:val="-57"/>
        </w:rPr>
        <w:t> </w:t>
      </w:r>
      <w:r>
        <w:rPr>
          <w:color w:val="000000"/>
        </w:rPr>
        <w:t>seeking results that indicate how climate impacted physical and</w:t>
      </w:r>
      <w:r>
        <w:rPr>
          <w:color w:val="000000"/>
          <w:spacing w:val="1"/>
        </w:rPr>
        <w:t> </w:t>
      </w:r>
      <w:r>
        <w:rPr>
          <w:color w:val="000000"/>
        </w:rPr>
        <w:t>wellness through three key</w:t>
      </w:r>
      <w:r>
        <w:rPr>
          <w:color w:val="000000"/>
          <w:spacing w:val="1"/>
        </w:rPr>
        <w:t> </w:t>
      </w:r>
      <w:r>
        <w:rPr>
          <w:color w:val="000000"/>
        </w:rPr>
        <w:t>pathways:</w:t>
      </w:r>
    </w:p>
    <w:p>
      <w:pPr>
        <w:pStyle w:val="ListParagraph"/>
        <w:numPr>
          <w:ilvl w:val="0"/>
          <w:numId w:val="3"/>
        </w:numPr>
        <w:tabs>
          <w:tab w:pos="480" w:val="left" w:leader="none"/>
        </w:tabs>
        <w:spacing w:line="477" w:lineRule="auto" w:before="1" w:after="0"/>
        <w:ind w:left="220" w:right="381" w:firstLine="0"/>
        <w:jc w:val="left"/>
        <w:rPr>
          <w:sz w:val="24"/>
        </w:rPr>
      </w:pPr>
      <w:r>
        <w:rPr>
          <w:sz w:val="24"/>
        </w:rPr>
        <w:t>shaping daily life experiences including connection to place and other determinants of</w:t>
      </w:r>
      <w:r>
        <w:rPr>
          <w:spacing w:val="1"/>
          <w:sz w:val="24"/>
        </w:rPr>
        <w:t> </w:t>
      </w:r>
      <w:r>
        <w:rPr>
          <w:sz w:val="24"/>
        </w:rPr>
        <w:t>health</w:t>
      </w:r>
      <w:r>
        <w:rPr>
          <w:spacing w:val="-57"/>
          <w:sz w:val="24"/>
        </w:rPr>
        <w:t> </w:t>
      </w:r>
      <w:r>
        <w:rPr>
          <w:sz w:val="24"/>
        </w:rPr>
        <w:t>outcomes</w:t>
      </w:r>
      <w:r>
        <w:rPr>
          <w:spacing w:val="-1"/>
          <w:sz w:val="24"/>
        </w:rPr>
        <w:t> </w:t>
      </w:r>
      <w:r>
        <w:rPr>
          <w:sz w:val="24"/>
        </w:rPr>
        <w:t>and</w:t>
      </w:r>
      <w:r>
        <w:rPr>
          <w:spacing w:val="-1"/>
          <w:sz w:val="24"/>
        </w:rPr>
        <w:t> </w:t>
      </w:r>
      <w:r>
        <w:rPr>
          <w:sz w:val="24"/>
        </w:rPr>
        <w:t>well-being;</w:t>
      </w:r>
    </w:p>
    <w:p>
      <w:pPr>
        <w:spacing w:after="0" w:line="477" w:lineRule="auto"/>
        <w:jc w:val="left"/>
        <w:rPr>
          <w:sz w:val="24"/>
        </w:rPr>
        <w:sectPr>
          <w:pgSz w:w="12240" w:h="15840"/>
          <w:pgMar w:top="1400" w:bottom="280" w:left="1220" w:right="1180"/>
        </w:sectPr>
      </w:pPr>
    </w:p>
    <w:p>
      <w:pPr>
        <w:pStyle w:val="ListParagraph"/>
        <w:numPr>
          <w:ilvl w:val="0"/>
          <w:numId w:val="3"/>
        </w:numPr>
        <w:tabs>
          <w:tab w:pos="480" w:val="left" w:leader="none"/>
        </w:tabs>
        <w:spacing w:line="477" w:lineRule="auto" w:before="74" w:after="0"/>
        <w:ind w:left="220" w:right="407" w:firstLine="0"/>
        <w:jc w:val="left"/>
        <w:rPr>
          <w:sz w:val="24"/>
        </w:rPr>
      </w:pPr>
      <w:r>
        <w:rPr>
          <w:color w:val="1F2023"/>
          <w:sz w:val="24"/>
        </w:rPr>
        <w:t>Warming temperatures, changes in precipitation, increases in the frequency or intensity of</w:t>
      </w:r>
      <w:r>
        <w:rPr>
          <w:color w:val="1F2023"/>
          <w:spacing w:val="1"/>
          <w:sz w:val="24"/>
        </w:rPr>
        <w:t> </w:t>
      </w:r>
      <w:r>
        <w:rPr>
          <w:color w:val="1F2023"/>
          <w:sz w:val="24"/>
        </w:rPr>
        <w:t>some</w:t>
      </w:r>
      <w:r>
        <w:rPr>
          <w:color w:val="1F2023"/>
          <w:spacing w:val="-3"/>
          <w:sz w:val="24"/>
        </w:rPr>
        <w:t> </w:t>
      </w:r>
      <w:r>
        <w:rPr>
          <w:color w:val="1F2023"/>
          <w:sz w:val="24"/>
        </w:rPr>
        <w:t>extreme</w:t>
      </w:r>
      <w:r>
        <w:rPr>
          <w:color w:val="1F2023"/>
          <w:spacing w:val="-1"/>
          <w:sz w:val="24"/>
        </w:rPr>
        <w:t> </w:t>
      </w:r>
      <w:r>
        <w:rPr>
          <w:color w:val="1F2023"/>
          <w:sz w:val="24"/>
        </w:rPr>
        <w:t>weather</w:t>
      </w:r>
      <w:r>
        <w:rPr>
          <w:color w:val="1F2023"/>
          <w:spacing w:val="-1"/>
          <w:sz w:val="24"/>
        </w:rPr>
        <w:t> </w:t>
      </w:r>
      <w:r>
        <w:rPr>
          <w:color w:val="1F2023"/>
          <w:sz w:val="24"/>
        </w:rPr>
        <w:t>events,</w:t>
      </w:r>
      <w:r>
        <w:rPr>
          <w:color w:val="1F2023"/>
          <w:spacing w:val="-1"/>
          <w:sz w:val="24"/>
        </w:rPr>
        <w:t> </w:t>
      </w:r>
      <w:r>
        <w:rPr>
          <w:color w:val="1F2023"/>
          <w:sz w:val="24"/>
        </w:rPr>
        <w:t>and</w:t>
      </w:r>
      <w:r>
        <w:rPr>
          <w:color w:val="1F2023"/>
          <w:spacing w:val="-1"/>
          <w:sz w:val="24"/>
        </w:rPr>
        <w:t> </w:t>
      </w:r>
      <w:r>
        <w:rPr>
          <w:color w:val="1F2023"/>
          <w:sz w:val="24"/>
        </w:rPr>
        <w:t>rising</w:t>
      </w:r>
      <w:r>
        <w:rPr>
          <w:color w:val="1F2023"/>
          <w:spacing w:val="-4"/>
          <w:sz w:val="24"/>
        </w:rPr>
        <w:t> </w:t>
      </w:r>
      <w:r>
        <w:rPr>
          <w:color w:val="1F2023"/>
          <w:sz w:val="24"/>
        </w:rPr>
        <w:t>sea</w:t>
      </w:r>
      <w:r>
        <w:rPr>
          <w:color w:val="1F2023"/>
          <w:spacing w:val="-2"/>
          <w:sz w:val="24"/>
        </w:rPr>
        <w:t> </w:t>
      </w:r>
      <w:r>
        <w:rPr>
          <w:color w:val="1F2023"/>
          <w:sz w:val="24"/>
        </w:rPr>
        <w:t>levels</w:t>
      </w:r>
      <w:r>
        <w:rPr>
          <w:color w:val="1F2023"/>
          <w:spacing w:val="-1"/>
          <w:sz w:val="24"/>
        </w:rPr>
        <w:t> </w:t>
      </w:r>
      <w:r>
        <w:rPr>
          <w:color w:val="1F2023"/>
          <w:sz w:val="24"/>
        </w:rPr>
        <w:t>affecting</w:t>
      </w:r>
      <w:r>
        <w:rPr>
          <w:color w:val="1F2023"/>
          <w:spacing w:val="-4"/>
          <w:sz w:val="24"/>
        </w:rPr>
        <w:t> </w:t>
      </w:r>
      <w:r>
        <w:rPr>
          <w:color w:val="1F2023"/>
          <w:sz w:val="24"/>
        </w:rPr>
        <w:t>vulnerable</w:t>
      </w:r>
      <w:r>
        <w:rPr>
          <w:color w:val="1F2023"/>
          <w:spacing w:val="-1"/>
          <w:sz w:val="24"/>
        </w:rPr>
        <w:t> </w:t>
      </w:r>
      <w:r>
        <w:rPr>
          <w:color w:val="1F2023"/>
          <w:sz w:val="24"/>
        </w:rPr>
        <w:t>urban</w:t>
      </w:r>
      <w:r>
        <w:rPr>
          <w:color w:val="1F2023"/>
          <w:spacing w:val="-1"/>
          <w:sz w:val="24"/>
        </w:rPr>
        <w:t> </w:t>
      </w:r>
      <w:r>
        <w:rPr>
          <w:color w:val="1F2023"/>
          <w:sz w:val="24"/>
        </w:rPr>
        <w:t>dwellers‘</w:t>
      </w:r>
      <w:r>
        <w:rPr>
          <w:color w:val="1F2023"/>
          <w:spacing w:val="4"/>
          <w:sz w:val="24"/>
        </w:rPr>
        <w:t> </w:t>
      </w:r>
      <w:r>
        <w:rPr>
          <w:color w:val="1F2023"/>
          <w:sz w:val="24"/>
        </w:rPr>
        <w:t>health;</w:t>
      </w:r>
    </w:p>
    <w:p>
      <w:pPr>
        <w:pStyle w:val="ListParagraph"/>
        <w:numPr>
          <w:ilvl w:val="0"/>
          <w:numId w:val="3"/>
        </w:numPr>
        <w:tabs>
          <w:tab w:pos="480" w:val="left" w:leader="none"/>
        </w:tabs>
        <w:spacing w:line="477" w:lineRule="auto" w:before="1" w:after="0"/>
        <w:ind w:left="220" w:right="324" w:firstLine="0"/>
        <w:jc w:val="left"/>
        <w:rPr>
          <w:sz w:val="24"/>
        </w:rPr>
      </w:pPr>
      <w:r>
        <w:rPr>
          <w:sz w:val="24"/>
        </w:rPr>
        <w:t>Emotional instability, stress reactions, anxiety, trauma and other psychological symptoms that</w:t>
      </w:r>
      <w:r>
        <w:rPr>
          <w:spacing w:val="-57"/>
          <w:sz w:val="24"/>
        </w:rPr>
        <w:t> </w:t>
      </w:r>
      <w:r>
        <w:rPr>
          <w:sz w:val="24"/>
        </w:rPr>
        <w:t>are</w:t>
      </w:r>
      <w:r>
        <w:rPr>
          <w:spacing w:val="-3"/>
          <w:sz w:val="24"/>
        </w:rPr>
        <w:t> </w:t>
      </w:r>
      <w:r>
        <w:rPr>
          <w:sz w:val="24"/>
        </w:rPr>
        <w:t>observed commonly</w:t>
      </w:r>
      <w:r>
        <w:rPr>
          <w:spacing w:val="-3"/>
          <w:sz w:val="24"/>
        </w:rPr>
        <w:t> </w:t>
      </w:r>
      <w:r>
        <w:rPr>
          <w:sz w:val="24"/>
        </w:rPr>
        <w:t>after the disaster;</w:t>
      </w:r>
    </w:p>
    <w:p>
      <w:pPr>
        <w:pStyle w:val="BodyText"/>
        <w:spacing w:line="477" w:lineRule="auto" w:before="1"/>
        <w:ind w:right="1988"/>
      </w:pPr>
      <w:r>
        <w:rPr/>
        <w:t>and 4) seasonally influencing individual and community health and well-being.</w:t>
      </w:r>
      <w:r>
        <w:rPr>
          <w:spacing w:val="-58"/>
        </w:rPr>
        <w:t> </w:t>
      </w:r>
      <w:r>
        <w:rPr/>
        <w:t>( Middleton, et al., 2020).</w:t>
      </w:r>
    </w:p>
    <w:p>
      <w:pPr>
        <w:pStyle w:val="BodyText"/>
        <w:spacing w:line="480" w:lineRule="auto" w:before="198"/>
        <w:ind w:right="435"/>
        <w:jc w:val="both"/>
      </w:pPr>
      <w:r>
        <w:rPr/>
        <w:t>After collection, careful analysis of the data follows the case study protocol. The analytical</w:t>
      </w:r>
      <w:r>
        <w:rPr>
          <w:spacing w:val="1"/>
        </w:rPr>
        <w:t> </w:t>
      </w:r>
      <w:r>
        <w:rPr/>
        <w:t>strategy supports the theoretical propositions inferred in the stated hypothesis (Yin, 2009). As</w:t>
      </w:r>
      <w:r>
        <w:rPr>
          <w:spacing w:val="1"/>
        </w:rPr>
        <w:t> </w:t>
      </w:r>
      <w:r>
        <w:rPr/>
        <w:t>the data was collected it was analyzed according to the research protocols of pattern matching</w:t>
      </w:r>
      <w:r>
        <w:rPr>
          <w:spacing w:val="1"/>
        </w:rPr>
        <w:t> </w:t>
      </w:r>
      <w:r>
        <w:rPr/>
        <w:t>and explanation building (Yin, 2009). Pattern matching is a comparative analysis that looks for</w:t>
      </w:r>
      <w:r>
        <w:rPr>
          <w:spacing w:val="1"/>
        </w:rPr>
        <w:t> </w:t>
      </w:r>
      <w:r>
        <w:rPr/>
        <w:t>coinciding</w:t>
      </w:r>
      <w:r>
        <w:rPr>
          <w:spacing w:val="1"/>
        </w:rPr>
        <w:t> </w:t>
      </w:r>
      <w:r>
        <w:rPr/>
        <w:t>patterns</w:t>
      </w:r>
      <w:r>
        <w:rPr>
          <w:spacing w:val="1"/>
        </w:rPr>
        <w:t> </w:t>
      </w:r>
      <w:r>
        <w:rPr/>
        <w:t>from</w:t>
      </w:r>
      <w:r>
        <w:rPr>
          <w:spacing w:val="1"/>
        </w:rPr>
        <w:t> </w:t>
      </w:r>
      <w:r>
        <w:rPr/>
        <w:t>each</w:t>
      </w:r>
      <w:r>
        <w:rPr>
          <w:spacing w:val="1"/>
        </w:rPr>
        <w:t> </w:t>
      </w:r>
      <w:r>
        <w:rPr/>
        <w:t>case</w:t>
      </w:r>
      <w:r>
        <w:rPr>
          <w:spacing w:val="1"/>
        </w:rPr>
        <w:t> </w:t>
      </w:r>
      <w:r>
        <w:rPr/>
        <w:t>to</w:t>
      </w:r>
      <w:r>
        <w:rPr>
          <w:spacing w:val="1"/>
        </w:rPr>
        <w:t> </w:t>
      </w:r>
      <w:r>
        <w:rPr/>
        <w:t>identify</w:t>
      </w:r>
      <w:r>
        <w:rPr>
          <w:spacing w:val="1"/>
        </w:rPr>
        <w:t> </w:t>
      </w:r>
      <w:r>
        <w:rPr/>
        <w:t>evidence</w:t>
      </w:r>
      <w:r>
        <w:rPr>
          <w:spacing w:val="1"/>
        </w:rPr>
        <w:t> </w:t>
      </w:r>
      <w:r>
        <w:rPr/>
        <w:t>that</w:t>
      </w:r>
      <w:r>
        <w:rPr>
          <w:spacing w:val="1"/>
        </w:rPr>
        <w:t> </w:t>
      </w:r>
      <w:r>
        <w:rPr/>
        <w:t>will</w:t>
      </w:r>
      <w:r>
        <w:rPr>
          <w:spacing w:val="1"/>
        </w:rPr>
        <w:t> </w:t>
      </w:r>
      <w:r>
        <w:rPr/>
        <w:t>support</w:t>
      </w:r>
      <w:r>
        <w:rPr>
          <w:spacing w:val="1"/>
        </w:rPr>
        <w:t> </w:t>
      </w:r>
      <w:r>
        <w:rPr/>
        <w:t>the</w:t>
      </w:r>
      <w:r>
        <w:rPr>
          <w:spacing w:val="1"/>
        </w:rPr>
        <w:t> </w:t>
      </w:r>
      <w:r>
        <w:rPr/>
        <w:t>hypothesis.</w:t>
      </w:r>
      <w:r>
        <w:rPr>
          <w:spacing w:val="-57"/>
        </w:rPr>
        <w:t> </w:t>
      </w:r>
      <w:r>
        <w:rPr/>
        <w:t>Explanation building is a special type of pattern matching and its goal is to analyze the data by</w:t>
      </w:r>
      <w:r>
        <w:rPr>
          <w:spacing w:val="1"/>
        </w:rPr>
        <w:t> </w:t>
      </w:r>
      <w:r>
        <w:rPr/>
        <w:t>building an explanation about the case, in that way that supports the hypothesis. It is mainly</w:t>
      </w:r>
      <w:r>
        <w:rPr>
          <w:spacing w:val="1"/>
        </w:rPr>
        <w:t> </w:t>
      </w:r>
      <w:r>
        <w:rPr/>
        <w:t>relevant to explanatory case studies. This form of analysis deals with creating causal links</w:t>
      </w:r>
      <w:r>
        <w:rPr>
          <w:spacing w:val="1"/>
        </w:rPr>
        <w:t> </w:t>
      </w:r>
      <w:r>
        <w:rPr/>
        <w:t>among the various forms of evidence, and by explaining what happened and why. The cross-</w:t>
      </w:r>
      <w:r>
        <w:rPr>
          <w:spacing w:val="1"/>
        </w:rPr>
        <w:t> </w:t>
      </w:r>
      <w:r>
        <w:rPr/>
        <w:t>case synthesis only applies to multiple-case studies and pertains in this particular case as the</w:t>
      </w:r>
      <w:r>
        <w:rPr>
          <w:spacing w:val="1"/>
        </w:rPr>
        <w:t> </w:t>
      </w:r>
      <w:r>
        <w:rPr/>
        <w:t>research compares four major cities. Within this approach each case is examined as a separate</w:t>
      </w:r>
      <w:r>
        <w:rPr>
          <w:spacing w:val="1"/>
        </w:rPr>
        <w:t> </w:t>
      </w:r>
      <w:r>
        <w:rPr/>
        <w:t>study.</w:t>
      </w:r>
      <w:r>
        <w:rPr>
          <w:spacing w:val="28"/>
        </w:rPr>
        <w:t> </w:t>
      </w:r>
      <w:r>
        <w:rPr/>
        <w:t>The</w:t>
      </w:r>
      <w:r>
        <w:rPr>
          <w:spacing w:val="27"/>
        </w:rPr>
        <w:t> </w:t>
      </w:r>
      <w:r>
        <w:rPr/>
        <w:t>cases</w:t>
      </w:r>
      <w:r>
        <w:rPr>
          <w:spacing w:val="28"/>
        </w:rPr>
        <w:t> </w:t>
      </w:r>
      <w:r>
        <w:rPr/>
        <w:t>are</w:t>
      </w:r>
      <w:r>
        <w:rPr>
          <w:spacing w:val="26"/>
        </w:rPr>
        <w:t> </w:t>
      </w:r>
      <w:r>
        <w:rPr/>
        <w:t>then</w:t>
      </w:r>
      <w:r>
        <w:rPr>
          <w:spacing w:val="28"/>
        </w:rPr>
        <w:t> </w:t>
      </w:r>
      <w:r>
        <w:rPr/>
        <w:t>matched,</w:t>
      </w:r>
      <w:r>
        <w:rPr>
          <w:spacing w:val="28"/>
        </w:rPr>
        <w:t> </w:t>
      </w:r>
      <w:r>
        <w:rPr/>
        <w:t>applying</w:t>
      </w:r>
      <w:r>
        <w:rPr>
          <w:spacing w:val="26"/>
        </w:rPr>
        <w:t> </w:t>
      </w:r>
      <w:r>
        <w:rPr/>
        <w:t>methods</w:t>
      </w:r>
      <w:r>
        <w:rPr>
          <w:spacing w:val="30"/>
        </w:rPr>
        <w:t> </w:t>
      </w:r>
      <w:r>
        <w:rPr/>
        <w:t>that</w:t>
      </w:r>
      <w:r>
        <w:rPr>
          <w:spacing w:val="29"/>
        </w:rPr>
        <w:t> </w:t>
      </w:r>
      <w:r>
        <w:rPr/>
        <w:t>unify</w:t>
      </w:r>
      <w:r>
        <w:rPr>
          <w:spacing w:val="23"/>
        </w:rPr>
        <w:t> </w:t>
      </w:r>
      <w:r>
        <w:rPr/>
        <w:t>the</w:t>
      </w:r>
      <w:r>
        <w:rPr>
          <w:spacing w:val="28"/>
        </w:rPr>
        <w:t> </w:t>
      </w:r>
      <w:r>
        <w:rPr/>
        <w:t>collected</w:t>
      </w:r>
      <w:r>
        <w:rPr>
          <w:spacing w:val="28"/>
        </w:rPr>
        <w:t> </w:t>
      </w:r>
      <w:r>
        <w:rPr/>
        <w:t>data</w:t>
      </w:r>
      <w:r>
        <w:rPr>
          <w:spacing w:val="28"/>
        </w:rPr>
        <w:t> </w:t>
      </w:r>
      <w:r>
        <w:rPr/>
        <w:t>in</w:t>
      </w:r>
      <w:r>
        <w:rPr>
          <w:spacing w:val="29"/>
        </w:rPr>
        <w:t> </w:t>
      </w:r>
      <w:r>
        <w:rPr/>
        <w:t>such</w:t>
      </w:r>
      <w:r>
        <w:rPr>
          <w:spacing w:val="30"/>
        </w:rPr>
        <w:t> </w:t>
      </w:r>
      <w:r>
        <w:rPr/>
        <w:t>a</w:t>
      </w:r>
      <w:r>
        <w:rPr>
          <w:spacing w:val="-57"/>
        </w:rPr>
        <w:t> </w:t>
      </w:r>
      <w:r>
        <w:rPr/>
        <w:t>way</w:t>
      </w:r>
      <w:r>
        <w:rPr>
          <w:spacing w:val="-5"/>
        </w:rPr>
        <w:t> </w:t>
      </w:r>
      <w:r>
        <w:rPr/>
        <w:t>that they</w:t>
      </w:r>
      <w:r>
        <w:rPr>
          <w:spacing w:val="-5"/>
        </w:rPr>
        <w:t> </w:t>
      </w:r>
      <w:r>
        <w:rPr/>
        <w:t>are</w:t>
      </w:r>
      <w:r>
        <w:rPr>
          <w:spacing w:val="-1"/>
        </w:rPr>
        <w:t> </w:t>
      </w:r>
      <w:r>
        <w:rPr/>
        <w:t>comparable (Yin, 2009).</w:t>
      </w:r>
    </w:p>
    <w:p>
      <w:pPr>
        <w:pStyle w:val="BodyText"/>
        <w:spacing w:line="482" w:lineRule="auto" w:before="203"/>
        <w:ind w:right="695"/>
        <w:jc w:val="both"/>
      </w:pPr>
      <w:r>
        <w:rPr/>
        <w:t>The research protocol that will be followed to achieve these results is shown in the following</w:t>
      </w:r>
      <w:r>
        <w:rPr>
          <w:spacing w:val="-58"/>
        </w:rPr>
        <w:t> </w:t>
      </w:r>
      <w:r>
        <w:rPr/>
        <w:t>figure.</w:t>
      </w:r>
    </w:p>
    <w:p>
      <w:pPr>
        <w:spacing w:after="0" w:line="482" w:lineRule="auto"/>
        <w:jc w:val="both"/>
        <w:sectPr>
          <w:pgSz w:w="12240" w:h="15840"/>
          <w:pgMar w:top="1360" w:bottom="280" w:left="1220" w:right="1180"/>
        </w:sectPr>
      </w:pPr>
    </w:p>
    <w:p>
      <w:pPr>
        <w:pStyle w:val="BodyText"/>
        <w:spacing w:before="2"/>
        <w:ind w:left="0"/>
        <w:rPr>
          <w:sz w:val="15"/>
        </w:rPr>
      </w:pPr>
    </w:p>
    <w:p>
      <w:pPr>
        <w:pStyle w:val="BodyText"/>
        <w:ind w:left="1493"/>
        <w:rPr>
          <w:sz w:val="20"/>
        </w:rPr>
      </w:pPr>
      <w:r>
        <w:rPr>
          <w:sz w:val="20"/>
        </w:rPr>
        <w:drawing>
          <wp:inline distT="0" distB="0" distL="0" distR="0">
            <wp:extent cx="4959622" cy="5235225"/>
            <wp:effectExtent l="0" t="0" r="0" b="0"/>
            <wp:docPr id="3" name="image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5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59622" cy="5235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BodyText"/>
        <w:ind w:left="0"/>
        <w:rPr>
          <w:sz w:val="20"/>
        </w:rPr>
      </w:pPr>
    </w:p>
    <w:p>
      <w:pPr>
        <w:pStyle w:val="BodyText"/>
        <w:spacing w:before="8"/>
        <w:ind w:left="0"/>
        <w:rPr>
          <w:sz w:val="28"/>
        </w:rPr>
      </w:pPr>
    </w:p>
    <w:p>
      <w:pPr>
        <w:spacing w:before="59"/>
        <w:ind w:left="220" w:right="0" w:firstLine="0"/>
        <w:jc w:val="left"/>
        <w:rPr>
          <w:rFonts w:ascii="Calibri"/>
          <w:sz w:val="20"/>
        </w:rPr>
      </w:pPr>
      <w:r>
        <w:rPr>
          <w:rFonts w:ascii="Calibri"/>
          <w:b/>
          <w:sz w:val="20"/>
        </w:rPr>
        <w:t>Figure.</w:t>
      </w:r>
      <w:r>
        <w:rPr>
          <w:rFonts w:ascii="Calibri"/>
          <w:b/>
          <w:spacing w:val="-4"/>
          <w:sz w:val="20"/>
        </w:rPr>
        <w:t> </w:t>
      </w:r>
      <w:r>
        <w:rPr>
          <w:rFonts w:ascii="Calibri"/>
          <w:b/>
          <w:sz w:val="20"/>
        </w:rPr>
        <w:t>1.2</w:t>
      </w:r>
      <w:r>
        <w:rPr>
          <w:rFonts w:ascii="Calibri"/>
          <w:b/>
          <w:spacing w:val="-4"/>
          <w:sz w:val="20"/>
        </w:rPr>
        <w:t> </w:t>
      </w:r>
      <w:r>
        <w:rPr>
          <w:rFonts w:ascii="Calibri"/>
          <w:b/>
          <w:sz w:val="20"/>
        </w:rPr>
        <w:t>Research</w:t>
      </w:r>
      <w:r>
        <w:rPr>
          <w:rFonts w:ascii="Calibri"/>
          <w:b/>
          <w:spacing w:val="-3"/>
          <w:sz w:val="20"/>
        </w:rPr>
        <w:t> </w:t>
      </w:r>
      <w:r>
        <w:rPr>
          <w:rFonts w:ascii="Calibri"/>
          <w:b/>
          <w:sz w:val="20"/>
        </w:rPr>
        <w:t>Protocol</w:t>
      </w:r>
      <w:r>
        <w:rPr>
          <w:rFonts w:ascii="Calibri"/>
          <w:b/>
          <w:spacing w:val="-4"/>
          <w:sz w:val="20"/>
        </w:rPr>
        <w:t> </w:t>
      </w:r>
      <w:r>
        <w:rPr>
          <w:rFonts w:ascii="Calibri"/>
          <w:b/>
          <w:sz w:val="20"/>
        </w:rPr>
        <w:t>Flowchart</w:t>
      </w:r>
      <w:r>
        <w:rPr>
          <w:rFonts w:ascii="Calibri"/>
          <w:b/>
          <w:spacing w:val="1"/>
          <w:sz w:val="20"/>
        </w:rPr>
        <w:t> </w:t>
      </w:r>
      <w:r>
        <w:rPr>
          <w:rFonts w:ascii="Calibri"/>
          <w:sz w:val="20"/>
        </w:rPr>
        <w:t>(Yin,</w:t>
      </w:r>
      <w:r>
        <w:rPr>
          <w:rFonts w:ascii="Calibri"/>
          <w:spacing w:val="-3"/>
          <w:sz w:val="20"/>
        </w:rPr>
        <w:t> </w:t>
      </w:r>
      <w:r>
        <w:rPr>
          <w:rFonts w:ascii="Calibri"/>
          <w:sz w:val="20"/>
        </w:rPr>
        <w:t>2009).</w:t>
      </w:r>
    </w:p>
    <w:p>
      <w:pPr>
        <w:pStyle w:val="BodyText"/>
        <w:ind w:left="0"/>
        <w:rPr>
          <w:rFonts w:ascii="Calibri"/>
          <w:sz w:val="20"/>
        </w:rPr>
      </w:pPr>
    </w:p>
    <w:p>
      <w:pPr>
        <w:pStyle w:val="BodyText"/>
        <w:ind w:left="0"/>
        <w:rPr>
          <w:rFonts w:ascii="Calibri"/>
          <w:sz w:val="20"/>
        </w:rPr>
      </w:pPr>
    </w:p>
    <w:p>
      <w:pPr>
        <w:pStyle w:val="BodyText"/>
        <w:spacing w:before="11"/>
        <w:ind w:left="0"/>
        <w:rPr>
          <w:rFonts w:ascii="Calibri"/>
          <w:sz w:val="26"/>
        </w:rPr>
      </w:pPr>
    </w:p>
    <w:p>
      <w:pPr>
        <w:pStyle w:val="Heading2"/>
      </w:pPr>
      <w:r>
        <w:rPr/>
        <w:t>Selection</w:t>
      </w:r>
      <w:r>
        <w:rPr>
          <w:spacing w:val="-3"/>
        </w:rPr>
        <w:t> </w:t>
      </w:r>
      <w:r>
        <w:rPr/>
        <w:t>criteria</w:t>
      </w:r>
    </w:p>
    <w:p>
      <w:pPr>
        <w:pStyle w:val="BodyText"/>
        <w:spacing w:before="5"/>
        <w:ind w:left="0"/>
        <w:rPr>
          <w:rFonts w:ascii="Calibri"/>
          <w:b/>
          <w:sz w:val="23"/>
        </w:rPr>
      </w:pPr>
    </w:p>
    <w:p>
      <w:pPr>
        <w:pStyle w:val="BodyText"/>
      </w:pPr>
      <w:r>
        <w:rPr/>
        <w:t>The</w:t>
      </w:r>
      <w:r>
        <w:rPr>
          <w:spacing w:val="-3"/>
        </w:rPr>
        <w:t> </w:t>
      </w:r>
      <w:r>
        <w:rPr/>
        <w:t>following</w:t>
      </w:r>
      <w:r>
        <w:rPr>
          <w:spacing w:val="-4"/>
        </w:rPr>
        <w:t> </w:t>
      </w:r>
      <w:r>
        <w:rPr/>
        <w:t>inclusion</w:t>
      </w:r>
      <w:r>
        <w:rPr>
          <w:spacing w:val="-1"/>
        </w:rPr>
        <w:t> </w:t>
      </w:r>
      <w:r>
        <w:rPr/>
        <w:t>and exclusion</w:t>
      </w:r>
      <w:r>
        <w:rPr>
          <w:spacing w:val="-1"/>
        </w:rPr>
        <w:t> </w:t>
      </w:r>
      <w:r>
        <w:rPr/>
        <w:t>criteria</w:t>
      </w:r>
      <w:r>
        <w:rPr>
          <w:spacing w:val="-1"/>
        </w:rPr>
        <w:t> </w:t>
      </w:r>
      <w:r>
        <w:rPr/>
        <w:t>are</w:t>
      </w:r>
      <w:r>
        <w:rPr>
          <w:spacing w:val="-1"/>
        </w:rPr>
        <w:t> </w:t>
      </w:r>
      <w:r>
        <w:rPr/>
        <w:t>applied:</w:t>
      </w:r>
    </w:p>
    <w:p>
      <w:pPr>
        <w:pStyle w:val="BodyText"/>
        <w:spacing w:before="9"/>
        <w:ind w:left="0"/>
        <w:rPr>
          <w:sz w:val="23"/>
        </w:rPr>
      </w:pPr>
    </w:p>
    <w:p>
      <w:pPr>
        <w:pStyle w:val="BodyText"/>
      </w:pPr>
      <w:r>
        <w:rPr/>
        <w:t>Inclusion</w:t>
      </w:r>
    </w:p>
    <w:p>
      <w:pPr>
        <w:pStyle w:val="BodyText"/>
        <w:spacing w:before="9"/>
        <w:ind w:left="0"/>
        <w:rPr>
          <w:sz w:val="23"/>
        </w:rPr>
      </w:pPr>
    </w:p>
    <w:p>
      <w:pPr>
        <w:pStyle w:val="BodyText"/>
        <w:spacing w:line="477" w:lineRule="auto"/>
        <w:ind w:right="443"/>
      </w:pPr>
      <w:r>
        <w:rPr/>
        <w:t>Must include climate change and</w:t>
      </w:r>
      <w:r>
        <w:rPr>
          <w:spacing w:val="1"/>
        </w:rPr>
        <w:t> </w:t>
      </w:r>
      <w:r>
        <w:rPr/>
        <w:t>health studies. All languages as long as an English abstract is</w:t>
      </w:r>
      <w:r>
        <w:rPr>
          <w:spacing w:val="-57"/>
        </w:rPr>
        <w:t> </w:t>
      </w:r>
      <w:r>
        <w:rPr/>
        <w:t>available. Only reviews and original research articles as well as books or peer-reviewed</w:t>
      </w:r>
      <w:r>
        <w:rPr>
          <w:spacing w:val="1"/>
        </w:rPr>
        <w:t> </w:t>
      </w:r>
      <w:r>
        <w:rPr/>
        <w:t>published</w:t>
      </w:r>
      <w:r>
        <w:rPr>
          <w:spacing w:val="-2"/>
        </w:rPr>
        <w:t> </w:t>
      </w:r>
      <w:r>
        <w:rPr/>
        <w:t>reports</w:t>
      </w:r>
      <w:r>
        <w:rPr>
          <w:spacing w:val="-1"/>
        </w:rPr>
        <w:t> </w:t>
      </w:r>
      <w:r>
        <w:rPr/>
        <w:t>(defined</w:t>
      </w:r>
      <w:r>
        <w:rPr>
          <w:spacing w:val="-1"/>
        </w:rPr>
        <w:t> </w:t>
      </w:r>
      <w:r>
        <w:rPr/>
        <w:t>as</w:t>
      </w:r>
      <w:r>
        <w:rPr>
          <w:spacing w:val="-1"/>
        </w:rPr>
        <w:t> </w:t>
      </w:r>
      <w:r>
        <w:rPr/>
        <w:t>having</w:t>
      </w:r>
      <w:r>
        <w:rPr>
          <w:spacing w:val="-4"/>
        </w:rPr>
        <w:t> </w:t>
      </w:r>
      <w:r>
        <w:rPr/>
        <w:t>an</w:t>
      </w:r>
      <w:r>
        <w:rPr>
          <w:spacing w:val="1"/>
        </w:rPr>
        <w:t> </w:t>
      </w:r>
      <w:r>
        <w:rPr/>
        <w:t>ISBN</w:t>
      </w:r>
      <w:r>
        <w:rPr>
          <w:spacing w:val="-1"/>
        </w:rPr>
        <w:t> </w:t>
      </w:r>
      <w:r>
        <w:rPr/>
        <w:t>number). Must</w:t>
      </w:r>
      <w:r>
        <w:rPr>
          <w:spacing w:val="-1"/>
        </w:rPr>
        <w:t> </w:t>
      </w:r>
      <w:r>
        <w:rPr/>
        <w:t>include</w:t>
      </w:r>
      <w:r>
        <w:rPr>
          <w:spacing w:val="-1"/>
        </w:rPr>
        <w:t> </w:t>
      </w:r>
      <w:r>
        <w:rPr/>
        <w:t>at</w:t>
      </w:r>
      <w:r>
        <w:rPr>
          <w:spacing w:val="-1"/>
        </w:rPr>
        <w:t> </w:t>
      </w:r>
      <w:r>
        <w:rPr/>
        <w:t>least</w:t>
      </w:r>
      <w:r>
        <w:rPr>
          <w:spacing w:val="-1"/>
        </w:rPr>
        <w:t> </w:t>
      </w:r>
      <w:r>
        <w:rPr/>
        <w:t>one</w:t>
      </w:r>
      <w:r>
        <w:rPr>
          <w:spacing w:val="-1"/>
        </w:rPr>
        <w:t> </w:t>
      </w:r>
      <w:r>
        <w:rPr/>
        <w:t>human</w:t>
      </w:r>
      <w:r>
        <w:rPr>
          <w:spacing w:val="3"/>
        </w:rPr>
        <w:t> </w:t>
      </w:r>
      <w:r>
        <w:rPr/>
        <w:t>health</w:t>
      </w:r>
    </w:p>
    <w:p>
      <w:pPr>
        <w:spacing w:after="0" w:line="477" w:lineRule="auto"/>
        <w:sectPr>
          <w:pgSz w:w="12240" w:h="15840"/>
          <w:pgMar w:top="1500" w:bottom="280" w:left="1220" w:right="1180"/>
        </w:sectPr>
      </w:pPr>
    </w:p>
    <w:p>
      <w:pPr>
        <w:pStyle w:val="BodyText"/>
        <w:spacing w:line="477" w:lineRule="auto" w:before="74"/>
        <w:ind w:right="268"/>
      </w:pPr>
      <w:r>
        <w:rPr/>
        <w:t>outcome,</w:t>
      </w:r>
      <w:r>
        <w:rPr>
          <w:spacing w:val="-2"/>
        </w:rPr>
        <w:t> </w:t>
      </w:r>
      <w:r>
        <w:rPr/>
        <w:t>or</w:t>
      </w:r>
      <w:r>
        <w:rPr>
          <w:spacing w:val="-1"/>
        </w:rPr>
        <w:t> </w:t>
      </w:r>
      <w:r>
        <w:rPr/>
        <w:t>health-related</w:t>
      </w:r>
      <w:r>
        <w:rPr>
          <w:spacing w:val="-1"/>
        </w:rPr>
        <w:t> </w:t>
      </w:r>
      <w:r>
        <w:rPr/>
        <w:t>behavior</w:t>
      </w:r>
      <w:r>
        <w:rPr>
          <w:spacing w:val="-1"/>
        </w:rPr>
        <w:t> </w:t>
      </w:r>
      <w:r>
        <w:rPr/>
        <w:t>changes within</w:t>
      </w:r>
      <w:r>
        <w:rPr>
          <w:spacing w:val="-1"/>
        </w:rPr>
        <w:t> </w:t>
      </w:r>
      <w:r>
        <w:rPr/>
        <w:t>urbanized</w:t>
      </w:r>
      <w:r>
        <w:rPr>
          <w:spacing w:val="-1"/>
        </w:rPr>
        <w:t> </w:t>
      </w:r>
      <w:r>
        <w:rPr/>
        <w:t>areas</w:t>
      </w:r>
      <w:r>
        <w:rPr>
          <w:spacing w:val="-1"/>
        </w:rPr>
        <w:t> </w:t>
      </w:r>
      <w:r>
        <w:rPr/>
        <w:t>under</w:t>
      </w:r>
      <w:r>
        <w:rPr>
          <w:spacing w:val="-1"/>
        </w:rPr>
        <w:t> </w:t>
      </w:r>
      <w:r>
        <w:rPr/>
        <w:t>study.</w:t>
      </w:r>
      <w:r>
        <w:rPr>
          <w:spacing w:val="-1"/>
        </w:rPr>
        <w:t> </w:t>
      </w:r>
      <w:r>
        <w:rPr/>
        <w:t>Must</w:t>
      </w:r>
      <w:r>
        <w:rPr>
          <w:spacing w:val="-1"/>
        </w:rPr>
        <w:t> </w:t>
      </w:r>
      <w:r>
        <w:rPr/>
        <w:t>contain</w:t>
      </w:r>
      <w:r>
        <w:rPr>
          <w:spacing w:val="-1"/>
        </w:rPr>
        <w:t> </w:t>
      </w:r>
      <w:r>
        <w:rPr/>
        <w:t>an</w:t>
      </w:r>
      <w:r>
        <w:rPr>
          <w:spacing w:val="-57"/>
        </w:rPr>
        <w:t> </w:t>
      </w:r>
      <w:r>
        <w:rPr/>
        <w:t>evaluation</w:t>
      </w:r>
      <w:r>
        <w:rPr>
          <w:spacing w:val="-1"/>
        </w:rPr>
        <w:t> </w:t>
      </w:r>
      <w:r>
        <w:rPr/>
        <w:t>or assessment.</w:t>
      </w:r>
      <w:r>
        <w:rPr>
          <w:spacing w:val="2"/>
        </w:rPr>
        <w:t> </w:t>
      </w:r>
      <w:r>
        <w:rPr/>
        <w:t>All publication</w:t>
      </w:r>
      <w:r>
        <w:rPr>
          <w:spacing w:val="3"/>
        </w:rPr>
        <w:t> </w:t>
      </w:r>
      <w:r>
        <w:rPr/>
        <w:t>years included.</w:t>
      </w:r>
    </w:p>
    <w:p>
      <w:pPr>
        <w:pStyle w:val="BodyText"/>
        <w:ind w:left="0"/>
        <w:rPr>
          <w:sz w:val="26"/>
        </w:rPr>
      </w:pPr>
    </w:p>
    <w:p>
      <w:pPr>
        <w:pStyle w:val="BodyText"/>
        <w:spacing w:before="7"/>
        <w:ind w:left="0"/>
        <w:rPr>
          <w:sz w:val="20"/>
        </w:rPr>
      </w:pPr>
    </w:p>
    <w:p>
      <w:pPr>
        <w:pStyle w:val="BodyText"/>
      </w:pPr>
      <w:r>
        <w:rPr/>
        <w:t>Exclusion</w:t>
      </w:r>
    </w:p>
    <w:p>
      <w:pPr>
        <w:pStyle w:val="BodyText"/>
        <w:spacing w:before="9"/>
        <w:ind w:left="0"/>
        <w:rPr>
          <w:sz w:val="23"/>
        </w:rPr>
      </w:pPr>
    </w:p>
    <w:p>
      <w:pPr>
        <w:pStyle w:val="BodyText"/>
        <w:spacing w:line="477" w:lineRule="auto" w:before="1"/>
        <w:ind w:right="696"/>
      </w:pPr>
      <w:r>
        <w:rPr/>
        <w:t>No</w:t>
      </w:r>
      <w:r>
        <w:rPr>
          <w:spacing w:val="-1"/>
        </w:rPr>
        <w:t> </w:t>
      </w:r>
      <w:r>
        <w:rPr/>
        <w:t>English abstract with</w:t>
      </w:r>
      <w:r>
        <w:rPr>
          <w:spacing w:val="2"/>
        </w:rPr>
        <w:t> </w:t>
      </w:r>
      <w:r>
        <w:rPr/>
        <w:t>pertinent</w:t>
      </w:r>
      <w:r>
        <w:rPr>
          <w:spacing w:val="-1"/>
        </w:rPr>
        <w:t> </w:t>
      </w:r>
      <w:r>
        <w:rPr/>
        <w:t>information</w:t>
      </w:r>
      <w:r>
        <w:rPr>
          <w:spacing w:val="1"/>
        </w:rPr>
        <w:t> </w:t>
      </w:r>
      <w:r>
        <w:rPr/>
        <w:t>available. Comments,</w:t>
      </w:r>
      <w:r>
        <w:rPr>
          <w:spacing w:val="-1"/>
        </w:rPr>
        <w:t> </w:t>
      </w:r>
      <w:r>
        <w:rPr/>
        <w:t>editorials,</w:t>
      </w:r>
      <w:r>
        <w:rPr>
          <w:spacing w:val="1"/>
        </w:rPr>
        <w:t> </w:t>
      </w:r>
      <w:r>
        <w:rPr/>
        <w:t>correspondences, opinions, and letters are excluded. Climate change</w:t>
      </w:r>
      <w:r>
        <w:rPr>
          <w:spacing w:val="1"/>
        </w:rPr>
        <w:t> </w:t>
      </w:r>
      <w:r>
        <w:rPr/>
        <w:t>rather than climate and</w:t>
      </w:r>
      <w:r>
        <w:rPr>
          <w:spacing w:val="-57"/>
        </w:rPr>
        <w:t> </w:t>
      </w:r>
      <w:r>
        <w:rPr/>
        <w:t>health focus of the article. Focus too limited: only a description of climate change and health</w:t>
      </w:r>
      <w:r>
        <w:rPr>
          <w:spacing w:val="-58"/>
        </w:rPr>
        <w:t> </w:t>
      </w:r>
      <w:r>
        <w:rPr/>
        <w:t>without</w:t>
      </w:r>
      <w:r>
        <w:rPr>
          <w:spacing w:val="-1"/>
        </w:rPr>
        <w:t> </w:t>
      </w:r>
      <w:r>
        <w:rPr/>
        <w:t>assessment</w:t>
      </w:r>
      <w:r>
        <w:rPr>
          <w:spacing w:val="-1"/>
        </w:rPr>
        <w:t> </w:t>
      </w:r>
      <w:r>
        <w:rPr/>
        <w:t>of</w:t>
      </w:r>
      <w:r>
        <w:rPr>
          <w:spacing w:val="-1"/>
        </w:rPr>
        <w:t> </w:t>
      </w:r>
      <w:r>
        <w:rPr/>
        <w:t>effects,</w:t>
      </w:r>
      <w:r>
        <w:rPr>
          <w:spacing w:val="-1"/>
        </w:rPr>
        <w:t> </w:t>
      </w:r>
      <w:r>
        <w:rPr/>
        <w:t>particularly</w:t>
      </w:r>
      <w:r>
        <w:rPr>
          <w:spacing w:val="54"/>
        </w:rPr>
        <w:t> </w:t>
      </w:r>
      <w:r>
        <w:rPr/>
        <w:t>health.</w:t>
      </w:r>
      <w:r>
        <w:rPr>
          <w:spacing w:val="1"/>
        </w:rPr>
        <w:t> </w:t>
      </w:r>
      <w:r>
        <w:rPr/>
        <w:t>No evaluation</w:t>
      </w:r>
      <w:r>
        <w:rPr>
          <w:spacing w:val="-1"/>
        </w:rPr>
        <w:t> </w:t>
      </w:r>
      <w:r>
        <w:rPr/>
        <w:t>of human</w:t>
      </w:r>
      <w:r>
        <w:rPr>
          <w:spacing w:val="3"/>
        </w:rPr>
        <w:t> </w:t>
      </w:r>
      <w:r>
        <w:rPr/>
        <w:t>health</w:t>
      </w:r>
      <w:r>
        <w:rPr>
          <w:spacing w:val="-1"/>
        </w:rPr>
        <w:t> </w:t>
      </w:r>
      <w:r>
        <w:rPr/>
        <w:t>impacts.</w:t>
      </w:r>
    </w:p>
    <w:p>
      <w:pPr>
        <w:pStyle w:val="BodyText"/>
        <w:spacing w:before="2"/>
      </w:pPr>
      <w:r>
        <w:rPr>
          <w:color w:val="000000"/>
          <w:shd w:fill="FBFBFB" w:color="auto" w:val="clear"/>
        </w:rPr>
        <w:t>Validity: </w:t>
      </w:r>
      <w:r>
        <w:rPr>
          <w:color w:val="000000"/>
        </w:rPr>
        <w:t>The</w:t>
      </w:r>
      <w:r>
        <w:rPr>
          <w:color w:val="000000"/>
          <w:spacing w:val="-3"/>
        </w:rPr>
        <w:t> </w:t>
      </w:r>
      <w:r>
        <w:rPr>
          <w:color w:val="000000"/>
        </w:rPr>
        <w:t>results</w:t>
      </w:r>
      <w:r>
        <w:rPr>
          <w:color w:val="000000"/>
          <w:spacing w:val="-1"/>
        </w:rPr>
        <w:t> </w:t>
      </w:r>
      <w:r>
        <w:rPr>
          <w:color w:val="000000"/>
        </w:rPr>
        <w:t>of</w:t>
      </w:r>
      <w:r>
        <w:rPr>
          <w:color w:val="000000"/>
          <w:spacing w:val="-1"/>
        </w:rPr>
        <w:t> </w:t>
      </w:r>
      <w:r>
        <w:rPr>
          <w:color w:val="000000"/>
        </w:rPr>
        <w:t>a</w:t>
      </w:r>
      <w:r>
        <w:rPr>
          <w:color w:val="000000"/>
          <w:spacing w:val="-1"/>
        </w:rPr>
        <w:t> </w:t>
      </w:r>
      <w:r>
        <w:rPr>
          <w:color w:val="000000"/>
        </w:rPr>
        <w:t>study</w:t>
      </w:r>
      <w:r>
        <w:rPr>
          <w:color w:val="000000"/>
          <w:spacing w:val="-5"/>
        </w:rPr>
        <w:t> </w:t>
      </w:r>
      <w:r>
        <w:rPr>
          <w:color w:val="000000"/>
        </w:rPr>
        <w:t>fit</w:t>
      </w:r>
      <w:r>
        <w:rPr>
          <w:color w:val="000000"/>
          <w:spacing w:val="-1"/>
        </w:rPr>
        <w:t> </w:t>
      </w:r>
      <w:r>
        <w:rPr>
          <w:color w:val="000000"/>
        </w:rPr>
        <w:t>with</w:t>
      </w:r>
      <w:r>
        <w:rPr>
          <w:color w:val="000000"/>
          <w:spacing w:val="-1"/>
        </w:rPr>
        <w:t> </w:t>
      </w:r>
      <w:r>
        <w:rPr>
          <w:color w:val="000000"/>
        </w:rPr>
        <w:t>other</w:t>
      </w:r>
      <w:r>
        <w:rPr>
          <w:color w:val="000000"/>
          <w:spacing w:val="-1"/>
        </w:rPr>
        <w:t> </w:t>
      </w:r>
      <w:r>
        <w:rPr>
          <w:color w:val="000000"/>
        </w:rPr>
        <w:t>available</w:t>
      </w:r>
      <w:r>
        <w:rPr>
          <w:color w:val="000000"/>
          <w:spacing w:val="-1"/>
        </w:rPr>
        <w:t> </w:t>
      </w:r>
      <w:r>
        <w:rPr>
          <w:color w:val="000000"/>
        </w:rPr>
        <w:t>evidence.</w:t>
      </w:r>
    </w:p>
    <w:p>
      <w:pPr>
        <w:pStyle w:val="BodyText"/>
        <w:spacing w:before="9"/>
        <w:ind w:left="0"/>
        <w:rPr>
          <w:sz w:val="23"/>
        </w:rPr>
      </w:pPr>
    </w:p>
    <w:p>
      <w:pPr>
        <w:pStyle w:val="BodyText"/>
        <w:spacing w:line="477" w:lineRule="auto"/>
        <w:ind w:right="434"/>
      </w:pPr>
      <w:r>
        <w:rPr/>
        <w:t>Confounding</w:t>
      </w:r>
      <w:r>
        <w:rPr>
          <w:spacing w:val="1"/>
        </w:rPr>
        <w:t> </w:t>
      </w:r>
      <w:r>
        <w:rPr/>
        <w:t>and bias are handled with</w:t>
      </w:r>
      <w:r>
        <w:rPr>
          <w:spacing w:val="1"/>
        </w:rPr>
        <w:t> </w:t>
      </w:r>
      <w:r>
        <w:rPr/>
        <w:t>randomization, restricting</w:t>
      </w:r>
      <w:r>
        <w:rPr>
          <w:spacing w:val="1"/>
        </w:rPr>
        <w:t> </w:t>
      </w:r>
      <w:r>
        <w:rPr/>
        <w:t>the research by only</w:t>
      </w:r>
      <w:r>
        <w:rPr>
          <w:spacing w:val="-57"/>
        </w:rPr>
        <w:t> </w:t>
      </w:r>
      <w:r>
        <w:rPr/>
        <w:t>including</w:t>
      </w:r>
      <w:r>
        <w:rPr>
          <w:spacing w:val="-3"/>
        </w:rPr>
        <w:t> </w:t>
      </w:r>
      <w:r>
        <w:rPr/>
        <w:t>certain vulnerable population and subjects</w:t>
      </w:r>
      <w:r>
        <w:rPr>
          <w:spacing w:val="-1"/>
        </w:rPr>
        <w:t> </w:t>
      </w:r>
      <w:r>
        <w:rPr/>
        <w:t>that have</w:t>
      </w:r>
      <w:r>
        <w:rPr>
          <w:spacing w:val="-2"/>
        </w:rPr>
        <w:t> </w:t>
      </w:r>
      <w:r>
        <w:rPr/>
        <w:t>the same</w:t>
      </w:r>
      <w:r>
        <w:rPr>
          <w:spacing w:val="-1"/>
        </w:rPr>
        <w:t> </w:t>
      </w:r>
      <w:r>
        <w:rPr/>
        <w:t>values</w:t>
      </w:r>
    </w:p>
    <w:p>
      <w:pPr>
        <w:pStyle w:val="BodyText"/>
        <w:spacing w:line="477" w:lineRule="auto" w:before="1"/>
        <w:ind w:right="1148"/>
      </w:pPr>
      <w:r>
        <w:rPr/>
        <w:t>of potential confounding variables such as age, income, living standards, demographics,</w:t>
      </w:r>
      <w:r>
        <w:rPr>
          <w:spacing w:val="-58"/>
        </w:rPr>
        <w:t> </w:t>
      </w:r>
      <w:r>
        <w:rPr/>
        <w:t>morbidity</w:t>
      </w:r>
      <w:r>
        <w:rPr>
          <w:spacing w:val="-7"/>
        </w:rPr>
        <w:t> </w:t>
      </w:r>
      <w:r>
        <w:rPr/>
        <w:t>and mortality</w:t>
      </w:r>
      <w:r>
        <w:rPr>
          <w:spacing w:val="-3"/>
        </w:rPr>
        <w:t> </w:t>
      </w:r>
      <w:r>
        <w:rPr/>
        <w:t>exposure</w:t>
      </w:r>
      <w:r>
        <w:rPr>
          <w:spacing w:val="-2"/>
        </w:rPr>
        <w:t> </w:t>
      </w:r>
      <w:r>
        <w:rPr/>
        <w:t>and</w:t>
      </w:r>
      <w:r>
        <w:rPr>
          <w:spacing w:val="-1"/>
        </w:rPr>
        <w:t> </w:t>
      </w:r>
      <w:r>
        <w:rPr/>
        <w:t>vulnerability,</w:t>
      </w:r>
      <w:r>
        <w:rPr>
          <w:spacing w:val="2"/>
        </w:rPr>
        <w:t> </w:t>
      </w:r>
      <w:r>
        <w:rPr/>
        <w:t>access to health</w:t>
      </w:r>
      <w:r>
        <w:rPr>
          <w:spacing w:val="-1"/>
        </w:rPr>
        <w:t> </w:t>
      </w:r>
      <w:r>
        <w:rPr/>
        <w:t>care, etc.</w:t>
      </w:r>
    </w:p>
    <w:p>
      <w:pPr>
        <w:pStyle w:val="BodyText"/>
        <w:ind w:left="0"/>
        <w:rPr>
          <w:sz w:val="26"/>
        </w:rPr>
      </w:pPr>
    </w:p>
    <w:p>
      <w:pPr>
        <w:pStyle w:val="BodyText"/>
        <w:spacing w:before="10"/>
        <w:ind w:left="0"/>
        <w:rPr>
          <w:sz w:val="21"/>
        </w:rPr>
      </w:pPr>
    </w:p>
    <w:p>
      <w:pPr>
        <w:pStyle w:val="BodyText"/>
        <w:spacing w:line="477" w:lineRule="auto"/>
        <w:ind w:right="317"/>
      </w:pPr>
      <w:r>
        <w:rPr/>
        <w:t>Reliability: The research can be consistently applied to similar and specific</w:t>
      </w:r>
      <w:r>
        <w:rPr>
          <w:spacing w:val="1"/>
        </w:rPr>
        <w:t> </w:t>
      </w:r>
      <w:r>
        <w:rPr/>
        <w:t>environments to</w:t>
      </w:r>
      <w:r>
        <w:rPr>
          <w:spacing w:val="-57"/>
        </w:rPr>
        <w:t> </w:t>
      </w:r>
      <w:r>
        <w:rPr/>
        <w:t>show</w:t>
      </w:r>
      <w:r>
        <w:rPr>
          <w:spacing w:val="-1"/>
        </w:rPr>
        <w:t> </w:t>
      </w:r>
      <w:r>
        <w:rPr/>
        <w:t>similar outcomes if it</w:t>
      </w:r>
      <w:r>
        <w:rPr>
          <w:spacing w:val="-1"/>
        </w:rPr>
        <w:t> </w:t>
      </w:r>
      <w:r>
        <w:rPr/>
        <w:t>is used in the</w:t>
      </w:r>
      <w:r>
        <w:rPr>
          <w:spacing w:val="-1"/>
        </w:rPr>
        <w:t> </w:t>
      </w:r>
      <w:r>
        <w:rPr/>
        <w:t>same situation on repeated</w:t>
      </w:r>
      <w:r>
        <w:rPr>
          <w:spacing w:val="-1"/>
        </w:rPr>
        <w:t> </w:t>
      </w:r>
      <w:r>
        <w:rPr/>
        <w:t>occasions.</w:t>
      </w:r>
    </w:p>
    <w:p>
      <w:pPr>
        <w:pStyle w:val="BodyText"/>
        <w:ind w:left="0"/>
        <w:rPr>
          <w:sz w:val="26"/>
        </w:rPr>
      </w:pPr>
    </w:p>
    <w:p>
      <w:pPr>
        <w:pStyle w:val="BodyText"/>
        <w:spacing w:before="10"/>
        <w:ind w:left="0"/>
        <w:rPr>
          <w:sz w:val="21"/>
        </w:rPr>
      </w:pPr>
    </w:p>
    <w:p>
      <w:pPr>
        <w:pStyle w:val="BodyText"/>
        <w:spacing w:line="477" w:lineRule="auto"/>
        <w:ind w:right="1337"/>
      </w:pPr>
      <w:r>
        <w:rPr/>
        <w:t>Applicability: Results can be generalized according to the data and specific research</w:t>
      </w:r>
      <w:r>
        <w:rPr>
          <w:spacing w:val="1"/>
        </w:rPr>
        <w:t> </w:t>
      </w:r>
      <w:r>
        <w:rPr/>
        <w:t>uestions</w:t>
      </w:r>
      <w:r>
        <w:rPr>
          <w:spacing w:val="-2"/>
        </w:rPr>
        <w:t> </w:t>
      </w:r>
      <w:r>
        <w:rPr/>
        <w:t>and</w:t>
      </w:r>
      <w:r>
        <w:rPr>
          <w:spacing w:val="-1"/>
        </w:rPr>
        <w:t> </w:t>
      </w:r>
      <w:r>
        <w:rPr/>
        <w:t>answers</w:t>
      </w:r>
      <w:r>
        <w:rPr>
          <w:spacing w:val="-1"/>
        </w:rPr>
        <w:t> </w:t>
      </w:r>
      <w:r>
        <w:rPr/>
        <w:t>presented</w:t>
      </w:r>
      <w:r>
        <w:rPr>
          <w:spacing w:val="-2"/>
        </w:rPr>
        <w:t> </w:t>
      </w:r>
      <w:r>
        <w:rPr/>
        <w:t>and able</w:t>
      </w:r>
      <w:r>
        <w:rPr>
          <w:spacing w:val="-1"/>
        </w:rPr>
        <w:t> </w:t>
      </w:r>
      <w:r>
        <w:rPr/>
        <w:t>to</w:t>
      </w:r>
      <w:r>
        <w:rPr>
          <w:spacing w:val="-1"/>
        </w:rPr>
        <w:t> </w:t>
      </w:r>
      <w:r>
        <w:rPr/>
        <w:t>show</w:t>
      </w:r>
      <w:r>
        <w:rPr>
          <w:spacing w:val="58"/>
        </w:rPr>
        <w:t> </w:t>
      </w:r>
      <w:r>
        <w:rPr/>
        <w:t>recommendations</w:t>
      </w:r>
      <w:r>
        <w:rPr>
          <w:spacing w:val="-1"/>
        </w:rPr>
        <w:t> </w:t>
      </w:r>
      <w:r>
        <w:rPr/>
        <w:t>for</w:t>
      </w:r>
      <w:r>
        <w:rPr>
          <w:spacing w:val="-1"/>
        </w:rPr>
        <w:t> </w:t>
      </w:r>
      <w:r>
        <w:rPr/>
        <w:t>practice</w:t>
      </w:r>
      <w:r>
        <w:rPr>
          <w:spacing w:val="-3"/>
        </w:rPr>
        <w:t> </w:t>
      </w:r>
      <w:r>
        <w:rPr/>
        <w:t>based</w:t>
      </w:r>
      <w:r>
        <w:rPr>
          <w:spacing w:val="-57"/>
        </w:rPr>
        <w:t> </w:t>
      </w:r>
      <w:r>
        <w:rPr/>
        <w:t>on these</w:t>
      </w:r>
      <w:r>
        <w:rPr>
          <w:spacing w:val="-2"/>
        </w:rPr>
        <w:t> </w:t>
      </w:r>
      <w:r>
        <w:rPr/>
        <w:t>study</w:t>
      </w:r>
      <w:r>
        <w:rPr>
          <w:spacing w:val="57"/>
        </w:rPr>
        <w:t> </w:t>
      </w:r>
      <w:r>
        <w:rPr/>
        <w:t>results.</w:t>
      </w:r>
    </w:p>
    <w:p>
      <w:pPr>
        <w:pStyle w:val="BodyText"/>
        <w:spacing w:before="2"/>
      </w:pPr>
      <w:r>
        <w:rPr>
          <w:color w:val="000000"/>
          <w:shd w:fill="FBFBFB" w:color="auto" w:val="clear"/>
        </w:rPr>
        <w:t>Ethical</w:t>
      </w:r>
      <w:r>
        <w:rPr>
          <w:color w:val="000000"/>
          <w:spacing w:val="-6"/>
          <w:shd w:fill="FBFBFB" w:color="auto" w:val="clear"/>
        </w:rPr>
        <w:t> </w:t>
      </w:r>
      <w:r>
        <w:rPr>
          <w:color w:val="000000"/>
          <w:shd w:fill="FBFBFB" w:color="auto" w:val="clear"/>
        </w:rPr>
        <w:t>Considerations</w:t>
      </w:r>
    </w:p>
    <w:p>
      <w:pPr>
        <w:pStyle w:val="BodyText"/>
        <w:spacing w:before="7"/>
        <w:ind w:left="0"/>
        <w:rPr>
          <w:sz w:val="23"/>
        </w:rPr>
      </w:pPr>
    </w:p>
    <w:p>
      <w:pPr>
        <w:pStyle w:val="ListParagraph"/>
        <w:numPr>
          <w:ilvl w:val="1"/>
          <w:numId w:val="3"/>
        </w:numPr>
        <w:tabs>
          <w:tab w:pos="1660" w:val="left" w:leader="none"/>
          <w:tab w:pos="1661" w:val="left" w:leader="none"/>
        </w:tabs>
        <w:spacing w:line="240" w:lineRule="auto" w:before="0" w:after="0"/>
        <w:ind w:left="1660" w:right="0" w:hanging="721"/>
        <w:jc w:val="left"/>
        <w:rPr>
          <w:sz w:val="24"/>
        </w:rPr>
      </w:pPr>
      <w:r>
        <w:rPr>
          <w:sz w:val="24"/>
        </w:rPr>
        <w:t>Research</w:t>
      </w:r>
      <w:r>
        <w:rPr>
          <w:spacing w:val="-1"/>
          <w:sz w:val="24"/>
        </w:rPr>
        <w:t> </w:t>
      </w:r>
      <w:r>
        <w:rPr>
          <w:sz w:val="24"/>
        </w:rPr>
        <w:t>participants should not be</w:t>
      </w:r>
      <w:r>
        <w:rPr>
          <w:spacing w:val="-1"/>
          <w:sz w:val="24"/>
        </w:rPr>
        <w:t> </w:t>
      </w:r>
      <w:r>
        <w:rPr>
          <w:sz w:val="24"/>
        </w:rPr>
        <w:t>subjected to harm in any</w:t>
      </w:r>
      <w:r>
        <w:rPr>
          <w:spacing w:val="-5"/>
          <w:sz w:val="24"/>
        </w:rPr>
        <w:t> </w:t>
      </w:r>
      <w:r>
        <w:rPr>
          <w:sz w:val="24"/>
        </w:rPr>
        <w:t>ways</w:t>
      </w:r>
      <w:r>
        <w:rPr>
          <w:spacing w:val="-1"/>
          <w:sz w:val="24"/>
        </w:rPr>
        <w:t> </w:t>
      </w:r>
      <w:r>
        <w:rPr>
          <w:sz w:val="24"/>
        </w:rPr>
        <w:t>whatsoever.</w:t>
      </w:r>
    </w:p>
    <w:p>
      <w:pPr>
        <w:pStyle w:val="ListParagraph"/>
        <w:numPr>
          <w:ilvl w:val="1"/>
          <w:numId w:val="3"/>
        </w:numPr>
        <w:tabs>
          <w:tab w:pos="1660" w:val="left" w:leader="none"/>
          <w:tab w:pos="1661" w:val="left" w:leader="none"/>
        </w:tabs>
        <w:spacing w:line="240" w:lineRule="auto" w:before="0" w:after="0"/>
        <w:ind w:left="1660" w:right="0" w:hanging="721"/>
        <w:jc w:val="left"/>
        <w:rPr>
          <w:sz w:val="24"/>
        </w:rPr>
      </w:pPr>
      <w:r>
        <w:rPr>
          <w:sz w:val="24"/>
        </w:rPr>
        <w:t>Respect</w:t>
      </w:r>
      <w:r>
        <w:rPr>
          <w:spacing w:val="-1"/>
          <w:sz w:val="24"/>
        </w:rPr>
        <w:t> </w:t>
      </w:r>
      <w:r>
        <w:rPr>
          <w:sz w:val="24"/>
        </w:rPr>
        <w:t>for</w:t>
      </w:r>
      <w:r>
        <w:rPr>
          <w:spacing w:val="-1"/>
          <w:sz w:val="24"/>
        </w:rPr>
        <w:t> </w:t>
      </w:r>
      <w:r>
        <w:rPr>
          <w:sz w:val="24"/>
        </w:rPr>
        <w:t>the dignity</w:t>
      </w:r>
      <w:r>
        <w:rPr>
          <w:spacing w:val="-5"/>
          <w:sz w:val="24"/>
        </w:rPr>
        <w:t> </w:t>
      </w:r>
      <w:r>
        <w:rPr>
          <w:sz w:val="24"/>
        </w:rPr>
        <w:t>of</w:t>
      </w:r>
      <w:r>
        <w:rPr>
          <w:spacing w:val="1"/>
          <w:sz w:val="24"/>
        </w:rPr>
        <w:t> </w:t>
      </w:r>
      <w:r>
        <w:rPr>
          <w:sz w:val="24"/>
        </w:rPr>
        <w:t>research</w:t>
      </w:r>
      <w:r>
        <w:rPr>
          <w:spacing w:val="-1"/>
          <w:sz w:val="24"/>
        </w:rPr>
        <w:t> </w:t>
      </w:r>
      <w:r>
        <w:rPr>
          <w:sz w:val="24"/>
        </w:rPr>
        <w:t>participants should be</w:t>
      </w:r>
      <w:r>
        <w:rPr>
          <w:spacing w:val="3"/>
          <w:sz w:val="24"/>
        </w:rPr>
        <w:t> </w:t>
      </w:r>
      <w:r>
        <w:rPr>
          <w:sz w:val="24"/>
        </w:rPr>
        <w:t>prioritized.</w:t>
      </w:r>
    </w:p>
    <w:p>
      <w:pPr>
        <w:pStyle w:val="ListParagraph"/>
        <w:numPr>
          <w:ilvl w:val="1"/>
          <w:numId w:val="3"/>
        </w:numPr>
        <w:tabs>
          <w:tab w:pos="1660" w:val="left" w:leader="none"/>
          <w:tab w:pos="1661" w:val="left" w:leader="none"/>
        </w:tabs>
        <w:spacing w:line="240" w:lineRule="auto" w:before="0" w:after="0"/>
        <w:ind w:left="1660" w:right="0" w:hanging="721"/>
        <w:jc w:val="left"/>
        <w:rPr>
          <w:sz w:val="24"/>
        </w:rPr>
      </w:pPr>
      <w:r>
        <w:rPr>
          <w:sz w:val="24"/>
        </w:rPr>
        <w:t>Full</w:t>
      </w:r>
      <w:r>
        <w:rPr>
          <w:spacing w:val="-1"/>
          <w:sz w:val="24"/>
        </w:rPr>
        <w:t> </w:t>
      </w:r>
      <w:r>
        <w:rPr>
          <w:sz w:val="24"/>
        </w:rPr>
        <w:t>consent</w:t>
      </w:r>
      <w:r>
        <w:rPr>
          <w:spacing w:val="-1"/>
          <w:sz w:val="24"/>
        </w:rPr>
        <w:t> </w:t>
      </w:r>
      <w:r>
        <w:rPr>
          <w:sz w:val="24"/>
        </w:rPr>
        <w:t>should</w:t>
      </w:r>
      <w:r>
        <w:rPr>
          <w:spacing w:val="-1"/>
          <w:sz w:val="24"/>
        </w:rPr>
        <w:t> </w:t>
      </w:r>
      <w:r>
        <w:rPr>
          <w:sz w:val="24"/>
        </w:rPr>
        <w:t>be</w:t>
      </w:r>
      <w:r>
        <w:rPr>
          <w:spacing w:val="-1"/>
          <w:sz w:val="24"/>
        </w:rPr>
        <w:t> </w:t>
      </w:r>
      <w:r>
        <w:rPr>
          <w:sz w:val="24"/>
        </w:rPr>
        <w:t>obtained</w:t>
      </w:r>
      <w:r>
        <w:rPr>
          <w:spacing w:val="-1"/>
          <w:sz w:val="24"/>
        </w:rPr>
        <w:t> </w:t>
      </w:r>
      <w:r>
        <w:rPr>
          <w:sz w:val="24"/>
        </w:rPr>
        <w:t>from the</w:t>
      </w:r>
      <w:r>
        <w:rPr>
          <w:spacing w:val="-2"/>
          <w:sz w:val="24"/>
        </w:rPr>
        <w:t> </w:t>
      </w:r>
      <w:r>
        <w:rPr>
          <w:sz w:val="24"/>
        </w:rPr>
        <w:t>participants</w:t>
      </w:r>
      <w:r>
        <w:rPr>
          <w:spacing w:val="-1"/>
          <w:sz w:val="24"/>
        </w:rPr>
        <w:t> </w:t>
      </w:r>
      <w:r>
        <w:rPr>
          <w:sz w:val="24"/>
        </w:rPr>
        <w:t>prior</w:t>
      </w:r>
      <w:r>
        <w:rPr>
          <w:spacing w:val="-1"/>
          <w:sz w:val="24"/>
        </w:rPr>
        <w:t> </w:t>
      </w:r>
      <w:r>
        <w:rPr>
          <w:sz w:val="24"/>
        </w:rPr>
        <w:t>to</w:t>
      </w:r>
      <w:r>
        <w:rPr>
          <w:spacing w:val="-1"/>
          <w:sz w:val="24"/>
        </w:rPr>
        <w:t> </w:t>
      </w:r>
      <w:r>
        <w:rPr>
          <w:sz w:val="24"/>
        </w:rPr>
        <w:t>the</w:t>
      </w:r>
      <w:r>
        <w:rPr>
          <w:spacing w:val="-1"/>
          <w:sz w:val="24"/>
        </w:rPr>
        <w:t> </w:t>
      </w:r>
      <w:r>
        <w:rPr>
          <w:sz w:val="24"/>
        </w:rPr>
        <w:t>study.</w:t>
      </w:r>
    </w:p>
    <w:p>
      <w:pPr>
        <w:pStyle w:val="ListParagraph"/>
        <w:numPr>
          <w:ilvl w:val="1"/>
          <w:numId w:val="3"/>
        </w:numPr>
        <w:tabs>
          <w:tab w:pos="1660" w:val="left" w:leader="none"/>
          <w:tab w:pos="1661" w:val="left" w:leader="none"/>
        </w:tabs>
        <w:spacing w:line="240" w:lineRule="auto" w:before="0" w:after="0"/>
        <w:ind w:left="1660" w:right="0" w:hanging="721"/>
        <w:jc w:val="left"/>
        <w:rPr>
          <w:sz w:val="24"/>
        </w:rPr>
      </w:pPr>
      <w:r>
        <w:rPr>
          <w:sz w:val="24"/>
        </w:rPr>
        <w:t>The</w:t>
      </w:r>
      <w:r>
        <w:rPr>
          <w:spacing w:val="-3"/>
          <w:sz w:val="24"/>
        </w:rPr>
        <w:t> </w:t>
      </w:r>
      <w:r>
        <w:rPr>
          <w:sz w:val="24"/>
        </w:rPr>
        <w:t>protection of</w:t>
      </w:r>
      <w:r>
        <w:rPr>
          <w:spacing w:val="-1"/>
          <w:sz w:val="24"/>
        </w:rPr>
        <w:t> </w:t>
      </w:r>
      <w:r>
        <w:rPr>
          <w:sz w:val="24"/>
        </w:rPr>
        <w:t>the</w:t>
      </w:r>
      <w:r>
        <w:rPr>
          <w:spacing w:val="-1"/>
          <w:sz w:val="24"/>
        </w:rPr>
        <w:t> </w:t>
      </w:r>
      <w:r>
        <w:rPr>
          <w:sz w:val="24"/>
        </w:rPr>
        <w:t>privacy</w:t>
      </w:r>
      <w:r>
        <w:rPr>
          <w:spacing w:val="-5"/>
          <w:sz w:val="24"/>
        </w:rPr>
        <w:t> </w:t>
      </w:r>
      <w:r>
        <w:rPr>
          <w:sz w:val="24"/>
        </w:rPr>
        <w:t>of research participants</w:t>
      </w:r>
      <w:r>
        <w:rPr>
          <w:spacing w:val="-1"/>
          <w:sz w:val="24"/>
        </w:rPr>
        <w:t> </w:t>
      </w:r>
      <w:r>
        <w:rPr>
          <w:sz w:val="24"/>
        </w:rPr>
        <w:t>has to be</w:t>
      </w:r>
      <w:r>
        <w:rPr>
          <w:spacing w:val="-1"/>
          <w:sz w:val="24"/>
        </w:rPr>
        <w:t> </w:t>
      </w:r>
      <w:r>
        <w:rPr>
          <w:sz w:val="24"/>
        </w:rPr>
        <w:t>ensured.</w:t>
      </w:r>
    </w:p>
    <w:p>
      <w:pPr>
        <w:pStyle w:val="ListParagraph"/>
        <w:numPr>
          <w:ilvl w:val="1"/>
          <w:numId w:val="3"/>
        </w:numPr>
        <w:tabs>
          <w:tab w:pos="1660" w:val="left" w:leader="none"/>
          <w:tab w:pos="1661" w:val="left" w:leader="none"/>
        </w:tabs>
        <w:spacing w:line="240" w:lineRule="auto" w:before="0" w:after="0"/>
        <w:ind w:left="1660" w:right="0" w:hanging="721"/>
        <w:jc w:val="left"/>
        <w:rPr>
          <w:sz w:val="24"/>
        </w:rPr>
      </w:pPr>
      <w:r>
        <w:rPr>
          <w:sz w:val="24"/>
        </w:rPr>
        <w:t>Adequate</w:t>
      </w:r>
      <w:r>
        <w:rPr>
          <w:spacing w:val="-1"/>
          <w:sz w:val="24"/>
        </w:rPr>
        <w:t> </w:t>
      </w:r>
      <w:r>
        <w:rPr>
          <w:sz w:val="24"/>
        </w:rPr>
        <w:t>level</w:t>
      </w:r>
      <w:r>
        <w:rPr>
          <w:spacing w:val="-1"/>
          <w:sz w:val="24"/>
        </w:rPr>
        <w:t> </w:t>
      </w:r>
      <w:r>
        <w:rPr>
          <w:sz w:val="24"/>
        </w:rPr>
        <w:t>of</w:t>
      </w:r>
      <w:r>
        <w:rPr>
          <w:spacing w:val="-1"/>
          <w:sz w:val="24"/>
        </w:rPr>
        <w:t> </w:t>
      </w:r>
      <w:r>
        <w:rPr>
          <w:sz w:val="24"/>
        </w:rPr>
        <w:t>confidentiality</w:t>
      </w:r>
      <w:r>
        <w:rPr>
          <w:spacing w:val="-6"/>
          <w:sz w:val="24"/>
        </w:rPr>
        <w:t> </w:t>
      </w:r>
      <w:r>
        <w:rPr>
          <w:sz w:val="24"/>
        </w:rPr>
        <w:t>of the</w:t>
      </w:r>
      <w:r>
        <w:rPr>
          <w:spacing w:val="-1"/>
          <w:sz w:val="24"/>
        </w:rPr>
        <w:t> </w:t>
      </w:r>
      <w:r>
        <w:rPr>
          <w:sz w:val="24"/>
        </w:rPr>
        <w:t>research</w:t>
      </w:r>
      <w:r>
        <w:rPr>
          <w:spacing w:val="-1"/>
          <w:sz w:val="24"/>
        </w:rPr>
        <w:t> </w:t>
      </w:r>
      <w:r>
        <w:rPr>
          <w:sz w:val="24"/>
        </w:rPr>
        <w:t>data</w:t>
      </w:r>
      <w:r>
        <w:rPr>
          <w:spacing w:val="-1"/>
          <w:sz w:val="24"/>
        </w:rPr>
        <w:t> </w:t>
      </w:r>
      <w:r>
        <w:rPr>
          <w:sz w:val="24"/>
        </w:rPr>
        <w:t>should</w:t>
      </w:r>
      <w:r>
        <w:rPr>
          <w:spacing w:val="-1"/>
          <w:sz w:val="24"/>
        </w:rPr>
        <w:t> </w:t>
      </w:r>
      <w:r>
        <w:rPr>
          <w:sz w:val="24"/>
        </w:rPr>
        <w:t>be</w:t>
      </w:r>
      <w:r>
        <w:rPr>
          <w:spacing w:val="-1"/>
          <w:sz w:val="24"/>
        </w:rPr>
        <w:t> </w:t>
      </w:r>
      <w:r>
        <w:rPr>
          <w:sz w:val="24"/>
        </w:rPr>
        <w:t>ensured.</w:t>
      </w:r>
    </w:p>
    <w:p>
      <w:pPr>
        <w:pStyle w:val="ListParagraph"/>
        <w:numPr>
          <w:ilvl w:val="1"/>
          <w:numId w:val="3"/>
        </w:numPr>
        <w:tabs>
          <w:tab w:pos="1660" w:val="left" w:leader="none"/>
          <w:tab w:pos="1661" w:val="left" w:leader="none"/>
        </w:tabs>
        <w:spacing w:line="240" w:lineRule="auto" w:before="0" w:after="0"/>
        <w:ind w:left="1660" w:right="295" w:hanging="720"/>
        <w:jc w:val="left"/>
        <w:rPr>
          <w:sz w:val="24"/>
        </w:rPr>
      </w:pPr>
      <w:r>
        <w:rPr>
          <w:sz w:val="24"/>
        </w:rPr>
        <w:t>Anonymity</w:t>
      </w:r>
      <w:r>
        <w:rPr>
          <w:spacing w:val="-6"/>
          <w:sz w:val="24"/>
        </w:rPr>
        <w:t> </w:t>
      </w:r>
      <w:r>
        <w:rPr>
          <w:sz w:val="24"/>
        </w:rPr>
        <w:t>of</w:t>
      </w:r>
      <w:r>
        <w:rPr>
          <w:spacing w:val="-1"/>
          <w:sz w:val="24"/>
        </w:rPr>
        <w:t> </w:t>
      </w:r>
      <w:r>
        <w:rPr>
          <w:sz w:val="24"/>
        </w:rPr>
        <w:t>individuals and organizations participating</w:t>
      </w:r>
      <w:r>
        <w:rPr>
          <w:spacing w:val="-3"/>
          <w:sz w:val="24"/>
        </w:rPr>
        <w:t> </w:t>
      </w:r>
      <w:r>
        <w:rPr>
          <w:sz w:val="24"/>
        </w:rPr>
        <w:t>in</w:t>
      </w:r>
      <w:r>
        <w:rPr>
          <w:spacing w:val="-1"/>
          <w:sz w:val="24"/>
        </w:rPr>
        <w:t> </w:t>
      </w:r>
      <w:r>
        <w:rPr>
          <w:sz w:val="24"/>
        </w:rPr>
        <w:t>the</w:t>
      </w:r>
      <w:r>
        <w:rPr>
          <w:spacing w:val="-2"/>
          <w:sz w:val="24"/>
        </w:rPr>
        <w:t> </w:t>
      </w:r>
      <w:r>
        <w:rPr>
          <w:sz w:val="24"/>
        </w:rPr>
        <w:t>research has</w:t>
      </w:r>
      <w:r>
        <w:rPr>
          <w:spacing w:val="-1"/>
          <w:sz w:val="24"/>
        </w:rPr>
        <w:t> </w:t>
      </w:r>
      <w:r>
        <w:rPr>
          <w:sz w:val="24"/>
        </w:rPr>
        <w:t>to be</w:t>
      </w:r>
      <w:r>
        <w:rPr>
          <w:spacing w:val="-57"/>
          <w:sz w:val="24"/>
        </w:rPr>
        <w:t> </w:t>
      </w:r>
      <w:r>
        <w:rPr>
          <w:sz w:val="24"/>
        </w:rPr>
        <w:t>ensured.</w:t>
      </w:r>
    </w:p>
    <w:p>
      <w:pPr>
        <w:spacing w:after="0" w:line="240" w:lineRule="auto"/>
        <w:jc w:val="left"/>
        <w:rPr>
          <w:sz w:val="24"/>
        </w:rPr>
        <w:sectPr>
          <w:pgSz w:w="12240" w:h="15840"/>
          <w:pgMar w:top="1360" w:bottom="280" w:left="1220" w:right="1180"/>
        </w:sectPr>
      </w:pPr>
    </w:p>
    <w:p>
      <w:pPr>
        <w:pStyle w:val="ListParagraph"/>
        <w:numPr>
          <w:ilvl w:val="1"/>
          <w:numId w:val="3"/>
        </w:numPr>
        <w:tabs>
          <w:tab w:pos="1660" w:val="left" w:leader="none"/>
          <w:tab w:pos="1661" w:val="left" w:leader="none"/>
        </w:tabs>
        <w:spacing w:line="240" w:lineRule="auto" w:before="72" w:after="0"/>
        <w:ind w:left="1660" w:right="317" w:hanging="720"/>
        <w:jc w:val="left"/>
        <w:rPr>
          <w:sz w:val="24"/>
        </w:rPr>
      </w:pPr>
      <w:r>
        <w:rPr>
          <w:sz w:val="24"/>
        </w:rPr>
        <w:t>Any</w:t>
      </w:r>
      <w:r>
        <w:rPr>
          <w:spacing w:val="-6"/>
          <w:sz w:val="24"/>
        </w:rPr>
        <w:t> </w:t>
      </w:r>
      <w:r>
        <w:rPr>
          <w:sz w:val="24"/>
        </w:rPr>
        <w:t>deception</w:t>
      </w:r>
      <w:r>
        <w:rPr>
          <w:spacing w:val="-1"/>
          <w:sz w:val="24"/>
        </w:rPr>
        <w:t> </w:t>
      </w:r>
      <w:r>
        <w:rPr>
          <w:sz w:val="24"/>
        </w:rPr>
        <w:t>or exaggeration about</w:t>
      </w:r>
      <w:r>
        <w:rPr>
          <w:spacing w:val="-1"/>
          <w:sz w:val="24"/>
        </w:rPr>
        <w:t> </w:t>
      </w:r>
      <w:r>
        <w:rPr>
          <w:sz w:val="24"/>
        </w:rPr>
        <w:t>the</w:t>
      </w:r>
      <w:r>
        <w:rPr>
          <w:spacing w:val="-2"/>
          <w:sz w:val="24"/>
        </w:rPr>
        <w:t> </w:t>
      </w:r>
      <w:r>
        <w:rPr>
          <w:sz w:val="24"/>
        </w:rPr>
        <w:t>aims</w:t>
      </w:r>
      <w:r>
        <w:rPr>
          <w:spacing w:val="-1"/>
          <w:sz w:val="24"/>
        </w:rPr>
        <w:t> </w:t>
      </w:r>
      <w:r>
        <w:rPr>
          <w:sz w:val="24"/>
        </w:rPr>
        <w:t>and</w:t>
      </w:r>
      <w:r>
        <w:rPr>
          <w:spacing w:val="1"/>
          <w:sz w:val="24"/>
        </w:rPr>
        <w:t> </w:t>
      </w:r>
      <w:r>
        <w:rPr>
          <w:sz w:val="24"/>
        </w:rPr>
        <w:t>objectives</w:t>
      </w:r>
      <w:r>
        <w:rPr>
          <w:spacing w:val="-1"/>
          <w:sz w:val="24"/>
        </w:rPr>
        <w:t> </w:t>
      </w:r>
      <w:r>
        <w:rPr>
          <w:sz w:val="24"/>
        </w:rPr>
        <w:t>of</w:t>
      </w:r>
      <w:r>
        <w:rPr>
          <w:spacing w:val="-1"/>
          <w:sz w:val="24"/>
        </w:rPr>
        <w:t> </w:t>
      </w:r>
      <w:r>
        <w:rPr>
          <w:sz w:val="24"/>
        </w:rPr>
        <w:t>the</w:t>
      </w:r>
      <w:r>
        <w:rPr>
          <w:spacing w:val="-2"/>
          <w:sz w:val="24"/>
        </w:rPr>
        <w:t> </w:t>
      </w:r>
      <w:r>
        <w:rPr>
          <w:sz w:val="24"/>
        </w:rPr>
        <w:t>research must</w:t>
      </w:r>
      <w:r>
        <w:rPr>
          <w:spacing w:val="-57"/>
          <w:sz w:val="24"/>
        </w:rPr>
        <w:t> </w:t>
      </w:r>
      <w:r>
        <w:rPr>
          <w:sz w:val="24"/>
        </w:rPr>
        <w:t>be</w:t>
      </w:r>
      <w:r>
        <w:rPr>
          <w:spacing w:val="-1"/>
          <w:sz w:val="24"/>
        </w:rPr>
        <w:t> </w:t>
      </w:r>
      <w:r>
        <w:rPr>
          <w:sz w:val="24"/>
        </w:rPr>
        <w:t>avoided.</w:t>
      </w:r>
    </w:p>
    <w:p>
      <w:pPr>
        <w:pStyle w:val="ListParagraph"/>
        <w:numPr>
          <w:ilvl w:val="1"/>
          <w:numId w:val="3"/>
        </w:numPr>
        <w:tabs>
          <w:tab w:pos="1660" w:val="left" w:leader="none"/>
          <w:tab w:pos="1661" w:val="left" w:leader="none"/>
        </w:tabs>
        <w:spacing w:line="240" w:lineRule="auto" w:before="0" w:after="0"/>
        <w:ind w:left="1660" w:right="439" w:hanging="720"/>
        <w:jc w:val="left"/>
        <w:rPr>
          <w:sz w:val="24"/>
        </w:rPr>
      </w:pPr>
      <w:r>
        <w:rPr>
          <w:sz w:val="24"/>
        </w:rPr>
        <w:t>Affiliations in any forms, sources of funding, as well as any possible conflicts of</w:t>
      </w:r>
      <w:r>
        <w:rPr>
          <w:spacing w:val="-58"/>
          <w:sz w:val="24"/>
        </w:rPr>
        <w:t> </w:t>
      </w:r>
      <w:r>
        <w:rPr>
          <w:sz w:val="24"/>
        </w:rPr>
        <w:t>interests</w:t>
      </w:r>
      <w:r>
        <w:rPr>
          <w:spacing w:val="-1"/>
          <w:sz w:val="24"/>
        </w:rPr>
        <w:t> </w:t>
      </w:r>
      <w:r>
        <w:rPr>
          <w:sz w:val="24"/>
        </w:rPr>
        <w:t>have</w:t>
      </w:r>
      <w:r>
        <w:rPr>
          <w:spacing w:val="-1"/>
          <w:sz w:val="24"/>
        </w:rPr>
        <w:t> </w:t>
      </w:r>
      <w:r>
        <w:rPr>
          <w:sz w:val="24"/>
        </w:rPr>
        <w:t>to be declared.</w:t>
      </w:r>
    </w:p>
    <w:p>
      <w:pPr>
        <w:pStyle w:val="ListParagraph"/>
        <w:numPr>
          <w:ilvl w:val="1"/>
          <w:numId w:val="3"/>
        </w:numPr>
        <w:tabs>
          <w:tab w:pos="1660" w:val="left" w:leader="none"/>
          <w:tab w:pos="1661" w:val="left" w:leader="none"/>
        </w:tabs>
        <w:spacing w:line="240" w:lineRule="auto" w:before="0" w:after="0"/>
        <w:ind w:left="1660" w:right="983" w:hanging="720"/>
        <w:jc w:val="left"/>
        <w:rPr>
          <w:sz w:val="24"/>
        </w:rPr>
      </w:pPr>
      <w:r>
        <w:rPr>
          <w:sz w:val="24"/>
        </w:rPr>
        <w:t>Any</w:t>
      </w:r>
      <w:r>
        <w:rPr>
          <w:spacing w:val="-6"/>
          <w:sz w:val="24"/>
        </w:rPr>
        <w:t> </w:t>
      </w:r>
      <w:r>
        <w:rPr>
          <w:sz w:val="24"/>
        </w:rPr>
        <w:t>type</w:t>
      </w:r>
      <w:r>
        <w:rPr>
          <w:spacing w:val="-1"/>
          <w:sz w:val="24"/>
        </w:rPr>
        <w:t> </w:t>
      </w:r>
      <w:r>
        <w:rPr>
          <w:sz w:val="24"/>
        </w:rPr>
        <w:t>of communication</w:t>
      </w:r>
      <w:r>
        <w:rPr>
          <w:spacing w:val="-1"/>
          <w:sz w:val="24"/>
        </w:rPr>
        <w:t> </w:t>
      </w:r>
      <w:r>
        <w:rPr>
          <w:sz w:val="24"/>
        </w:rPr>
        <w:t>in relation to</w:t>
      </w:r>
      <w:r>
        <w:rPr>
          <w:spacing w:val="-1"/>
          <w:sz w:val="24"/>
        </w:rPr>
        <w:t> </w:t>
      </w:r>
      <w:r>
        <w:rPr>
          <w:sz w:val="24"/>
        </w:rPr>
        <w:t>the research</w:t>
      </w:r>
      <w:r>
        <w:rPr>
          <w:spacing w:val="-1"/>
          <w:sz w:val="24"/>
        </w:rPr>
        <w:t> </w:t>
      </w:r>
      <w:r>
        <w:rPr>
          <w:sz w:val="24"/>
        </w:rPr>
        <w:t>should be</w:t>
      </w:r>
      <w:r>
        <w:rPr>
          <w:spacing w:val="-1"/>
          <w:sz w:val="24"/>
        </w:rPr>
        <w:t> </w:t>
      </w:r>
      <w:r>
        <w:rPr>
          <w:sz w:val="24"/>
        </w:rPr>
        <w:t>done</w:t>
      </w:r>
      <w:r>
        <w:rPr>
          <w:spacing w:val="-2"/>
          <w:sz w:val="24"/>
        </w:rPr>
        <w:t> </w:t>
      </w:r>
      <w:r>
        <w:rPr>
          <w:sz w:val="24"/>
        </w:rPr>
        <w:t>with</w:t>
      </w:r>
      <w:r>
        <w:rPr>
          <w:spacing w:val="-57"/>
          <w:sz w:val="24"/>
        </w:rPr>
        <w:t> </w:t>
      </w:r>
      <w:r>
        <w:rPr>
          <w:sz w:val="24"/>
        </w:rPr>
        <w:t>honesty</w:t>
      </w:r>
      <w:r>
        <w:rPr>
          <w:spacing w:val="-6"/>
          <w:sz w:val="24"/>
        </w:rPr>
        <w:t> </w:t>
      </w:r>
      <w:r>
        <w:rPr>
          <w:sz w:val="24"/>
        </w:rPr>
        <w:t>and transparency.</w:t>
      </w:r>
    </w:p>
    <w:p>
      <w:pPr>
        <w:pStyle w:val="ListParagraph"/>
        <w:numPr>
          <w:ilvl w:val="1"/>
          <w:numId w:val="3"/>
        </w:numPr>
        <w:tabs>
          <w:tab w:pos="1660" w:val="left" w:leader="none"/>
          <w:tab w:pos="1661" w:val="left" w:leader="none"/>
        </w:tabs>
        <w:spacing w:line="240" w:lineRule="auto" w:before="0" w:after="0"/>
        <w:ind w:left="1660" w:right="713" w:hanging="720"/>
        <w:jc w:val="left"/>
        <w:rPr>
          <w:sz w:val="24"/>
        </w:rPr>
      </w:pPr>
      <w:r>
        <w:rPr>
          <w:sz w:val="24"/>
        </w:rPr>
        <w:t>Any type of misleading information, as well as representation of primary data</w:t>
      </w:r>
      <w:r>
        <w:rPr>
          <w:spacing w:val="-58"/>
          <w:sz w:val="24"/>
        </w:rPr>
        <w:t> </w:t>
      </w:r>
      <w:r>
        <w:rPr>
          <w:sz w:val="24"/>
        </w:rPr>
        <w:t>findings</w:t>
      </w:r>
      <w:r>
        <w:rPr>
          <w:spacing w:val="-1"/>
          <w:sz w:val="24"/>
        </w:rPr>
        <w:t> </w:t>
      </w:r>
      <w:r>
        <w:rPr>
          <w:sz w:val="24"/>
        </w:rPr>
        <w:t>in a biased</w:t>
      </w:r>
      <w:r>
        <w:rPr>
          <w:spacing w:val="2"/>
          <w:sz w:val="24"/>
        </w:rPr>
        <w:t> </w:t>
      </w:r>
      <w:r>
        <w:rPr>
          <w:sz w:val="24"/>
        </w:rPr>
        <w:t>way</w:t>
      </w:r>
      <w:r>
        <w:rPr>
          <w:spacing w:val="-3"/>
          <w:sz w:val="24"/>
        </w:rPr>
        <w:t> </w:t>
      </w:r>
      <w:r>
        <w:rPr>
          <w:sz w:val="24"/>
        </w:rPr>
        <w:t>must be</w:t>
      </w:r>
      <w:r>
        <w:rPr>
          <w:spacing w:val="-1"/>
          <w:sz w:val="24"/>
        </w:rPr>
        <w:t> </w:t>
      </w:r>
      <w:r>
        <w:rPr>
          <w:sz w:val="24"/>
        </w:rPr>
        <w:t>avoided.</w:t>
      </w:r>
    </w:p>
    <w:p>
      <w:pPr>
        <w:pStyle w:val="BodyText"/>
        <w:ind w:left="1660"/>
      </w:pPr>
      <w:r>
        <w:rPr>
          <w:color w:val="202429"/>
        </w:rPr>
        <w:t>(Bryman</w:t>
      </w:r>
      <w:r>
        <w:rPr>
          <w:color w:val="202429"/>
          <w:spacing w:val="-1"/>
        </w:rPr>
        <w:t> </w:t>
      </w:r>
      <w:r>
        <w:rPr>
          <w:color w:val="202429"/>
        </w:rPr>
        <w:t>&amp;</w:t>
      </w:r>
      <w:r>
        <w:rPr>
          <w:color w:val="202429"/>
          <w:spacing w:val="-1"/>
        </w:rPr>
        <w:t> </w:t>
      </w:r>
      <w:r>
        <w:rPr>
          <w:color w:val="202429"/>
        </w:rPr>
        <w:t>Bell,</w:t>
      </w:r>
      <w:r>
        <w:rPr>
          <w:color w:val="202429"/>
          <w:spacing w:val="-2"/>
        </w:rPr>
        <w:t> </w:t>
      </w:r>
      <w:r>
        <w:rPr>
          <w:color w:val="202429"/>
        </w:rPr>
        <w:t>2007)</w:t>
      </w:r>
    </w:p>
    <w:p>
      <w:pPr>
        <w:pStyle w:val="BodyText"/>
        <w:ind w:left="0"/>
        <w:rPr>
          <w:sz w:val="20"/>
        </w:rPr>
      </w:pPr>
    </w:p>
    <w:p>
      <w:pPr>
        <w:pStyle w:val="BodyText"/>
        <w:spacing w:before="2"/>
        <w:ind w:left="0"/>
        <w:rPr>
          <w:sz w:val="20"/>
        </w:rPr>
      </w:pPr>
    </w:p>
    <w:p>
      <w:pPr>
        <w:pStyle w:val="BodyText"/>
        <w:spacing w:before="90"/>
      </w:pPr>
      <w:r>
        <w:rPr>
          <w:color w:val="000000"/>
          <w:shd w:fill="FBFBFB" w:color="auto" w:val="clear"/>
        </w:rPr>
        <w:t>Limitations:</w:t>
      </w:r>
    </w:p>
    <w:p>
      <w:pPr>
        <w:pStyle w:val="BodyText"/>
        <w:spacing w:before="10"/>
        <w:ind w:left="0"/>
        <w:rPr>
          <w:sz w:val="23"/>
        </w:rPr>
      </w:pPr>
    </w:p>
    <w:p>
      <w:pPr>
        <w:pStyle w:val="BodyText"/>
        <w:spacing w:line="477" w:lineRule="auto"/>
        <w:ind w:right="267"/>
      </w:pPr>
      <w:r>
        <w:rPr/>
        <w:t>This study does have some limitations. Firstly, the study is conducted in one densiley populated</w:t>
      </w:r>
      <w:r>
        <w:rPr>
          <w:spacing w:val="1"/>
        </w:rPr>
        <w:t> </w:t>
      </w:r>
      <w:r>
        <w:rPr/>
        <w:t>urban</w:t>
      </w:r>
      <w:r>
        <w:rPr>
          <w:spacing w:val="3"/>
        </w:rPr>
        <w:t> </w:t>
      </w:r>
      <w:r>
        <w:rPr/>
        <w:t>area</w:t>
      </w:r>
      <w:r>
        <w:rPr>
          <w:spacing w:val="3"/>
        </w:rPr>
        <w:t> </w:t>
      </w:r>
      <w:r>
        <w:rPr/>
        <w:t>so</w:t>
      </w:r>
      <w:r>
        <w:rPr>
          <w:spacing w:val="5"/>
        </w:rPr>
        <w:t> </w:t>
      </w:r>
      <w:r>
        <w:rPr/>
        <w:t>it</w:t>
      </w:r>
      <w:r>
        <w:rPr>
          <w:spacing w:val="4"/>
        </w:rPr>
        <w:t> </w:t>
      </w:r>
      <w:r>
        <w:rPr/>
        <w:t>may not</w:t>
      </w:r>
      <w:r>
        <w:rPr>
          <w:spacing w:val="4"/>
        </w:rPr>
        <w:t> </w:t>
      </w:r>
      <w:r>
        <w:rPr/>
        <w:t>represent</w:t>
      </w:r>
      <w:r>
        <w:rPr>
          <w:spacing w:val="5"/>
        </w:rPr>
        <w:t> </w:t>
      </w:r>
      <w:r>
        <w:rPr/>
        <w:t>the</w:t>
      </w:r>
      <w:r>
        <w:rPr>
          <w:spacing w:val="3"/>
        </w:rPr>
        <w:t> </w:t>
      </w:r>
      <w:r>
        <w:rPr/>
        <w:t>perceptions</w:t>
      </w:r>
      <w:r>
        <w:rPr>
          <w:spacing w:val="5"/>
        </w:rPr>
        <w:t> </w:t>
      </w:r>
      <w:r>
        <w:rPr/>
        <w:t>in</w:t>
      </w:r>
      <w:r>
        <w:rPr>
          <w:spacing w:val="4"/>
        </w:rPr>
        <w:t> </w:t>
      </w:r>
      <w:r>
        <w:rPr/>
        <w:t>other</w:t>
      </w:r>
      <w:r>
        <w:rPr>
          <w:spacing w:val="4"/>
        </w:rPr>
        <w:t> </w:t>
      </w:r>
      <w:r>
        <w:rPr/>
        <w:t>densely populated</w:t>
      </w:r>
      <w:r>
        <w:rPr>
          <w:spacing w:val="4"/>
        </w:rPr>
        <w:t> </w:t>
      </w:r>
      <w:r>
        <w:rPr/>
        <w:t>cities.</w:t>
      </w:r>
      <w:r>
        <w:rPr>
          <w:spacing w:val="5"/>
        </w:rPr>
        <w:t> </w:t>
      </w:r>
      <w:r>
        <w:rPr/>
        <w:t>Secondly,</w:t>
      </w:r>
      <w:r>
        <w:rPr>
          <w:spacing w:val="1"/>
        </w:rPr>
        <w:t> </w:t>
      </w:r>
      <w:r>
        <w:rPr/>
        <w:t>the issue under study is complicated and difficult to measure. Urban dwellers’s perceptions on</w:t>
      </w:r>
      <w:r>
        <w:rPr>
          <w:spacing w:val="1"/>
        </w:rPr>
        <w:t> </w:t>
      </w:r>
      <w:r>
        <w:rPr/>
        <w:t>health risks</w:t>
      </w:r>
      <w:r>
        <w:rPr>
          <w:spacing w:val="1"/>
        </w:rPr>
        <w:t> </w:t>
      </w:r>
      <w:r>
        <w:rPr/>
        <w:t>on</w:t>
      </w:r>
      <w:r>
        <w:rPr>
          <w:spacing w:val="1"/>
        </w:rPr>
        <w:t> </w:t>
      </w:r>
      <w:r>
        <w:rPr/>
        <w:t>a changing</w:t>
      </w:r>
      <w:r>
        <w:rPr>
          <w:spacing w:val="-2"/>
        </w:rPr>
        <w:t> </w:t>
      </w:r>
      <w:r>
        <w:rPr/>
        <w:t>climate</w:t>
      </w:r>
      <w:r>
        <w:rPr>
          <w:spacing w:val="1"/>
        </w:rPr>
        <w:t> </w:t>
      </w:r>
      <w:r>
        <w:rPr/>
        <w:t>is</w:t>
      </w:r>
      <w:r>
        <w:rPr>
          <w:spacing w:val="1"/>
        </w:rPr>
        <w:t> </w:t>
      </w:r>
      <w:r>
        <w:rPr/>
        <w:t>difficult</w:t>
      </w:r>
      <w:r>
        <w:rPr>
          <w:spacing w:val="1"/>
        </w:rPr>
        <w:t> </w:t>
      </w:r>
      <w:r>
        <w:rPr/>
        <w:t>to</w:t>
      </w:r>
      <w:r>
        <w:rPr>
          <w:spacing w:val="1"/>
        </w:rPr>
        <w:t> </w:t>
      </w:r>
      <w:r>
        <w:rPr/>
        <w:t>check</w:t>
      </w:r>
      <w:r>
        <w:rPr>
          <w:spacing w:val="2"/>
        </w:rPr>
        <w:t> </w:t>
      </w:r>
      <w:r>
        <w:rPr/>
        <w:t>against</w:t>
      </w:r>
      <w:r>
        <w:rPr>
          <w:spacing w:val="1"/>
        </w:rPr>
        <w:t> </w:t>
      </w:r>
      <w:r>
        <w:rPr/>
        <w:t>real</w:t>
      </w:r>
      <w:r>
        <w:rPr>
          <w:spacing w:val="1"/>
        </w:rPr>
        <w:t> </w:t>
      </w:r>
      <w:r>
        <w:rPr/>
        <w:t>data</w:t>
      </w:r>
      <w:r>
        <w:rPr>
          <w:spacing w:val="2"/>
        </w:rPr>
        <w:t> </w:t>
      </w:r>
      <w:r>
        <w:rPr/>
        <w:t>on</w:t>
      </w:r>
      <w:r>
        <w:rPr>
          <w:spacing w:val="4"/>
        </w:rPr>
        <w:t> </w:t>
      </w:r>
      <w:r>
        <w:rPr/>
        <w:t>public</w:t>
      </w:r>
      <w:r>
        <w:rPr>
          <w:spacing w:val="60"/>
        </w:rPr>
        <w:t> </w:t>
      </w:r>
      <w:r>
        <w:rPr/>
        <w:t>health</w:t>
      </w:r>
      <w:r>
        <w:rPr>
          <w:spacing w:val="1"/>
        </w:rPr>
        <w:t> </w:t>
      </w:r>
      <w:r>
        <w:rPr/>
        <w:t>risks</w:t>
      </w:r>
      <w:r>
        <w:rPr>
          <w:spacing w:val="1"/>
        </w:rPr>
        <w:t> </w:t>
      </w:r>
      <w:r>
        <w:rPr/>
        <w:t>and possible changes related to climate in this study. If feasible, the data could be collected in the</w:t>
      </w:r>
      <w:r>
        <w:rPr>
          <w:spacing w:val="-58"/>
        </w:rPr>
        <w:t> </w:t>
      </w:r>
      <w:r>
        <w:rPr/>
        <w:t>future</w:t>
      </w:r>
      <w:r>
        <w:rPr>
          <w:spacing w:val="-2"/>
        </w:rPr>
        <w:t> </w:t>
      </w:r>
      <w:r>
        <w:rPr/>
        <w:t>to</w:t>
      </w:r>
      <w:r>
        <w:rPr>
          <w:spacing w:val="2"/>
        </w:rPr>
        <w:t> </w:t>
      </w:r>
      <w:r>
        <w:rPr/>
        <w:t>give more</w:t>
      </w:r>
      <w:r>
        <w:rPr>
          <w:spacing w:val="-1"/>
        </w:rPr>
        <w:t> </w:t>
      </w:r>
      <w:r>
        <w:rPr/>
        <w:t>precision and understanding</w:t>
      </w:r>
      <w:r>
        <w:rPr>
          <w:spacing w:val="-3"/>
        </w:rPr>
        <w:t> </w:t>
      </w:r>
      <w:r>
        <w:rPr/>
        <w:t>of the</w:t>
      </w:r>
      <w:r>
        <w:rPr>
          <w:spacing w:val="-2"/>
        </w:rPr>
        <w:t> </w:t>
      </w:r>
      <w:r>
        <w:rPr/>
        <w:t>climate</w:t>
      </w:r>
      <w:r>
        <w:rPr>
          <w:spacing w:val="-1"/>
        </w:rPr>
        <w:t> </w:t>
      </w:r>
      <w:r>
        <w:rPr/>
        <w:t>and health nexus.</w:t>
      </w:r>
    </w:p>
    <w:p>
      <w:pPr>
        <w:pStyle w:val="BodyText"/>
        <w:ind w:left="0"/>
        <w:rPr>
          <w:sz w:val="26"/>
        </w:rPr>
      </w:pPr>
    </w:p>
    <w:p>
      <w:pPr>
        <w:pStyle w:val="BodyText"/>
        <w:spacing w:before="9"/>
        <w:ind w:left="0"/>
        <w:rPr>
          <w:sz w:val="21"/>
        </w:rPr>
      </w:pPr>
    </w:p>
    <w:p>
      <w:pPr>
        <w:pStyle w:val="BodyText"/>
        <w:spacing w:before="1"/>
      </w:pPr>
      <w:r>
        <w:rPr/>
        <w:t>Data</w:t>
      </w:r>
      <w:r>
        <w:rPr>
          <w:spacing w:val="-2"/>
        </w:rPr>
        <w:t> </w:t>
      </w:r>
      <w:r>
        <w:rPr/>
        <w:t>Management</w:t>
      </w:r>
      <w:r>
        <w:rPr>
          <w:spacing w:val="-2"/>
        </w:rPr>
        <w:t> </w:t>
      </w:r>
      <w:r>
        <w:rPr/>
        <w:t>and</w:t>
      </w:r>
      <w:r>
        <w:rPr>
          <w:spacing w:val="-2"/>
        </w:rPr>
        <w:t> </w:t>
      </w:r>
      <w:r>
        <w:rPr/>
        <w:t>Analysis</w:t>
      </w:r>
    </w:p>
    <w:p>
      <w:pPr>
        <w:pStyle w:val="BodyText"/>
        <w:spacing w:before="2"/>
        <w:ind w:left="0"/>
      </w:pPr>
    </w:p>
    <w:p>
      <w:pPr>
        <w:pStyle w:val="BodyText"/>
        <w:spacing w:line="448" w:lineRule="auto"/>
        <w:ind w:right="778"/>
        <w:jc w:val="both"/>
      </w:pPr>
      <w:r>
        <w:rPr/>
        <w:t>The key component is to collecting suitable data to answer the</w:t>
      </w:r>
      <w:r>
        <w:rPr>
          <w:spacing w:val="1"/>
        </w:rPr>
        <w:t> </w:t>
      </w:r>
      <w:r>
        <w:rPr/>
        <w:t>research questions gathering</w:t>
      </w:r>
      <w:r>
        <w:rPr>
          <w:spacing w:val="-57"/>
        </w:rPr>
        <w:t> </w:t>
      </w:r>
      <w:r>
        <w:rPr/>
        <w:t>data that is relevant to the</w:t>
      </w:r>
      <w:r>
        <w:rPr>
          <w:spacing w:val="1"/>
        </w:rPr>
        <w:t> </w:t>
      </w:r>
      <w:r>
        <w:rPr/>
        <w:t>research topic and</w:t>
      </w:r>
      <w:r>
        <w:rPr>
          <w:spacing w:val="1"/>
        </w:rPr>
        <w:t> </w:t>
      </w:r>
      <w:r>
        <w:rPr/>
        <w:t>prevents</w:t>
      </w:r>
      <w:r>
        <w:rPr>
          <w:spacing w:val="1"/>
        </w:rPr>
        <w:t> </w:t>
      </w:r>
      <w:r>
        <w:rPr/>
        <w:t>the research to become less focused</w:t>
      </w:r>
      <w:r>
        <w:rPr>
          <w:spacing w:val="-57"/>
        </w:rPr>
        <w:t> </w:t>
      </w:r>
      <w:r>
        <w:rPr/>
        <w:t>on</w:t>
      </w:r>
      <w:r>
        <w:rPr>
          <w:spacing w:val="-1"/>
        </w:rPr>
        <w:t> </w:t>
      </w:r>
      <w:r>
        <w:rPr/>
        <w:t>the primary</w:t>
      </w:r>
      <w:r>
        <w:rPr>
          <w:spacing w:val="-5"/>
        </w:rPr>
        <w:t> </w:t>
      </w:r>
      <w:r>
        <w:rPr/>
        <w:t>area</w:t>
      </w:r>
      <w:r>
        <w:rPr>
          <w:spacing w:val="-1"/>
        </w:rPr>
        <w:t> </w:t>
      </w:r>
      <w:r>
        <w:rPr/>
        <w:t>of study.</w:t>
      </w:r>
    </w:p>
    <w:p>
      <w:pPr>
        <w:pStyle w:val="BodyText"/>
        <w:spacing w:before="5"/>
        <w:ind w:left="0"/>
        <w:rPr>
          <w:sz w:val="28"/>
        </w:rPr>
      </w:pPr>
    </w:p>
    <w:p>
      <w:pPr>
        <w:pStyle w:val="BodyText"/>
        <w:spacing w:before="90"/>
      </w:pPr>
      <w:r>
        <w:rPr>
          <w:color w:val="000000"/>
          <w:shd w:fill="FBFBFB" w:color="auto" w:val="clear"/>
        </w:rPr>
        <w:t>Unit</w:t>
      </w:r>
      <w:r>
        <w:rPr>
          <w:color w:val="000000"/>
          <w:spacing w:val="-2"/>
          <w:shd w:fill="FBFBFB" w:color="auto" w:val="clear"/>
        </w:rPr>
        <w:t> </w:t>
      </w:r>
      <w:r>
        <w:rPr>
          <w:color w:val="000000"/>
          <w:shd w:fill="FBFBFB" w:color="auto" w:val="clear"/>
        </w:rPr>
        <w:t>of</w:t>
      </w:r>
      <w:r>
        <w:rPr>
          <w:color w:val="000000"/>
          <w:spacing w:val="-2"/>
          <w:shd w:fill="FBFBFB" w:color="auto" w:val="clear"/>
        </w:rPr>
        <w:t> </w:t>
      </w:r>
      <w:r>
        <w:rPr>
          <w:color w:val="000000"/>
          <w:shd w:fill="FBFBFB" w:color="auto" w:val="clear"/>
        </w:rPr>
        <w:t>Analysis</w:t>
      </w:r>
    </w:p>
    <w:p>
      <w:pPr>
        <w:pStyle w:val="BodyText"/>
        <w:spacing w:before="1"/>
        <w:ind w:left="0"/>
        <w:rPr>
          <w:sz w:val="16"/>
        </w:rPr>
      </w:pPr>
    </w:p>
    <w:p>
      <w:pPr>
        <w:pStyle w:val="BodyText"/>
        <w:spacing w:before="90"/>
      </w:pPr>
      <w:r>
        <w:rPr>
          <w:color w:val="000000"/>
          <w:shd w:fill="FBFBFB" w:color="auto" w:val="clear"/>
        </w:rPr>
        <w:t>Case</w:t>
      </w:r>
      <w:r>
        <w:rPr>
          <w:color w:val="000000"/>
          <w:spacing w:val="-2"/>
          <w:shd w:fill="FBFBFB" w:color="auto" w:val="clear"/>
        </w:rPr>
        <w:t> </w:t>
      </w:r>
      <w:r>
        <w:rPr>
          <w:color w:val="000000"/>
          <w:shd w:fill="FBFBFB" w:color="auto" w:val="clear"/>
        </w:rPr>
        <w:t>Study:</w:t>
      </w:r>
      <w:r>
        <w:rPr>
          <w:color w:val="000000"/>
          <w:spacing w:val="-1"/>
          <w:shd w:fill="FBFBFB" w:color="auto" w:val="clear"/>
        </w:rPr>
        <w:t> </w:t>
      </w:r>
      <w:r>
        <w:rPr>
          <w:color w:val="000000"/>
          <w:shd w:fill="FBFBFB" w:color="auto" w:val="clear"/>
        </w:rPr>
        <w:t>New Delhi,</w:t>
      </w:r>
      <w:r>
        <w:rPr>
          <w:color w:val="000000"/>
          <w:spacing w:val="2"/>
          <w:shd w:fill="FBFBFB" w:color="auto" w:val="clear"/>
        </w:rPr>
        <w:t> </w:t>
      </w:r>
      <w:r>
        <w:rPr>
          <w:color w:val="000000"/>
          <w:shd w:fill="FBFBFB" w:color="auto" w:val="clear"/>
        </w:rPr>
        <w:t>and</w:t>
      </w:r>
      <w:r>
        <w:rPr>
          <w:color w:val="000000"/>
          <w:spacing w:val="-1"/>
          <w:shd w:fill="FBFBFB" w:color="auto" w:val="clear"/>
        </w:rPr>
        <w:t> </w:t>
      </w:r>
      <w:r>
        <w:rPr>
          <w:color w:val="000000"/>
          <w:shd w:fill="FBFBFB" w:color="auto" w:val="clear"/>
        </w:rPr>
        <w:t>Rio</w:t>
      </w:r>
      <w:r>
        <w:rPr>
          <w:color w:val="000000"/>
          <w:spacing w:val="-1"/>
          <w:shd w:fill="FBFBFB" w:color="auto" w:val="clear"/>
        </w:rPr>
        <w:t> </w:t>
      </w:r>
      <w:r>
        <w:rPr>
          <w:color w:val="000000"/>
          <w:shd w:fill="FBFBFB" w:color="auto" w:val="clear"/>
        </w:rPr>
        <w:t>de</w:t>
      </w:r>
      <w:r>
        <w:rPr>
          <w:color w:val="000000"/>
          <w:spacing w:val="-2"/>
          <w:shd w:fill="FBFBFB" w:color="auto" w:val="clear"/>
        </w:rPr>
        <w:t> </w:t>
      </w:r>
      <w:r>
        <w:rPr>
          <w:color w:val="000000"/>
          <w:shd w:fill="FBFBFB" w:color="auto" w:val="clear"/>
        </w:rPr>
        <w:t>Janeiro.</w:t>
      </w:r>
    </w:p>
    <w:p>
      <w:pPr>
        <w:pStyle w:val="BodyText"/>
        <w:spacing w:before="11"/>
        <w:ind w:left="0"/>
        <w:rPr>
          <w:sz w:val="15"/>
        </w:rPr>
      </w:pPr>
    </w:p>
    <w:p>
      <w:pPr>
        <w:pStyle w:val="BodyText"/>
        <w:spacing w:before="90"/>
      </w:pPr>
      <w:r>
        <w:rPr>
          <w:color w:val="000000"/>
          <w:shd w:fill="FBFBFB" w:color="auto" w:val="clear"/>
        </w:rPr>
        <w:t>Event:</w:t>
      </w:r>
      <w:r>
        <w:rPr>
          <w:color w:val="000000"/>
          <w:spacing w:val="57"/>
          <w:shd w:fill="FBFBFB" w:color="auto" w:val="clear"/>
        </w:rPr>
        <w:t> </w:t>
      </w:r>
      <w:r>
        <w:rPr>
          <w:color w:val="000000"/>
          <w:shd w:fill="FBFBFB" w:color="auto" w:val="clear"/>
        </w:rPr>
        <w:t>health-related</w:t>
      </w:r>
      <w:r>
        <w:rPr>
          <w:color w:val="000000"/>
          <w:spacing w:val="-1"/>
          <w:shd w:fill="FBFBFB" w:color="auto" w:val="clear"/>
        </w:rPr>
        <w:t> </w:t>
      </w:r>
      <w:r>
        <w:rPr>
          <w:color w:val="000000"/>
          <w:shd w:fill="FBFBFB" w:color="auto" w:val="clear"/>
        </w:rPr>
        <w:t>climatic</w:t>
      </w:r>
      <w:r>
        <w:rPr>
          <w:color w:val="000000"/>
          <w:spacing w:val="-2"/>
          <w:shd w:fill="FBFBFB" w:color="auto" w:val="clear"/>
        </w:rPr>
        <w:t> </w:t>
      </w:r>
      <w:r>
        <w:rPr>
          <w:color w:val="000000"/>
          <w:shd w:fill="FBFBFB" w:color="auto" w:val="clear"/>
        </w:rPr>
        <w:t>shocks</w:t>
      </w:r>
    </w:p>
    <w:p>
      <w:pPr>
        <w:pStyle w:val="BodyText"/>
        <w:spacing w:before="11"/>
        <w:ind w:left="0"/>
        <w:rPr>
          <w:sz w:val="15"/>
        </w:rPr>
      </w:pPr>
    </w:p>
    <w:p>
      <w:pPr>
        <w:pStyle w:val="BodyText"/>
        <w:spacing w:before="90"/>
      </w:pPr>
      <w:r>
        <w:rPr>
          <w:color w:val="000000"/>
          <w:shd w:fill="FBFBFB" w:color="auto" w:val="clear"/>
        </w:rPr>
        <w:t>Affected</w:t>
      </w:r>
      <w:r>
        <w:rPr>
          <w:color w:val="000000"/>
          <w:spacing w:val="-1"/>
          <w:shd w:fill="FBFBFB" w:color="auto" w:val="clear"/>
        </w:rPr>
        <w:t> </w:t>
      </w:r>
      <w:r>
        <w:rPr>
          <w:color w:val="000000"/>
          <w:shd w:fill="FBFBFB" w:color="auto" w:val="clear"/>
        </w:rPr>
        <w:t>Population:</w:t>
      </w:r>
      <w:r>
        <w:rPr>
          <w:color w:val="000000"/>
          <w:spacing w:val="59"/>
          <w:shd w:fill="FBFBFB" w:color="auto" w:val="clear"/>
        </w:rPr>
        <w:t> </w:t>
      </w:r>
      <w:r>
        <w:rPr>
          <w:color w:val="000000"/>
          <w:shd w:fill="FBFBFB" w:color="auto" w:val="clear"/>
        </w:rPr>
        <w:t>health</w:t>
      </w:r>
      <w:r>
        <w:rPr>
          <w:color w:val="000000"/>
          <w:spacing w:val="-1"/>
          <w:shd w:fill="FBFBFB" w:color="auto" w:val="clear"/>
        </w:rPr>
        <w:t> </w:t>
      </w:r>
      <w:r>
        <w:rPr>
          <w:color w:val="000000"/>
          <w:shd w:fill="FBFBFB" w:color="auto" w:val="clear"/>
        </w:rPr>
        <w:t>vulnerability</w:t>
      </w:r>
      <w:r>
        <w:rPr>
          <w:color w:val="000000"/>
          <w:spacing w:val="-5"/>
          <w:shd w:fill="FBFBFB" w:color="auto" w:val="clear"/>
        </w:rPr>
        <w:t> </w:t>
      </w:r>
      <w:r>
        <w:rPr>
          <w:color w:val="000000"/>
          <w:shd w:fill="FBFBFB" w:color="auto" w:val="clear"/>
        </w:rPr>
        <w:t>analysis</w:t>
      </w:r>
      <w:r>
        <w:rPr>
          <w:color w:val="000000"/>
          <w:spacing w:val="-1"/>
          <w:shd w:fill="FBFBFB" w:color="auto" w:val="clear"/>
        </w:rPr>
        <w:t> </w:t>
      </w:r>
      <w:r>
        <w:rPr>
          <w:color w:val="000000"/>
          <w:shd w:fill="FBFBFB" w:color="auto" w:val="clear"/>
        </w:rPr>
        <w:t>and</w:t>
      </w:r>
      <w:r>
        <w:rPr>
          <w:color w:val="000000"/>
          <w:spacing w:val="-2"/>
          <w:shd w:fill="FBFBFB" w:color="auto" w:val="clear"/>
        </w:rPr>
        <w:t> </w:t>
      </w:r>
      <w:r>
        <w:rPr>
          <w:color w:val="000000"/>
          <w:shd w:fill="FBFBFB" w:color="auto" w:val="clear"/>
        </w:rPr>
        <w:t>assessment</w:t>
      </w:r>
      <w:r>
        <w:rPr>
          <w:color w:val="000000"/>
          <w:spacing w:val="-1"/>
          <w:shd w:fill="FBFBFB" w:color="auto" w:val="clear"/>
        </w:rPr>
        <w:t> </w:t>
      </w:r>
      <w:r>
        <w:rPr>
          <w:color w:val="000000"/>
          <w:shd w:fill="FBFBFB" w:color="auto" w:val="clear"/>
        </w:rPr>
        <w:t>of</w:t>
      </w:r>
      <w:r>
        <w:rPr>
          <w:color w:val="000000"/>
          <w:spacing w:val="1"/>
          <w:shd w:fill="FBFBFB" w:color="auto" w:val="clear"/>
        </w:rPr>
        <w:t> </w:t>
      </w:r>
      <w:r>
        <w:rPr>
          <w:color w:val="000000"/>
          <w:shd w:fill="FBFBFB" w:color="auto" w:val="clear"/>
        </w:rPr>
        <w:t>key</w:t>
      </w:r>
      <w:r>
        <w:rPr>
          <w:color w:val="000000"/>
          <w:spacing w:val="-4"/>
          <w:shd w:fill="FBFBFB" w:color="auto" w:val="clear"/>
        </w:rPr>
        <w:t> </w:t>
      </w:r>
      <w:r>
        <w:rPr>
          <w:color w:val="000000"/>
          <w:shd w:fill="FBFBFB" w:color="auto" w:val="clear"/>
        </w:rPr>
        <w:t>issues like</w:t>
      </w:r>
      <w:r>
        <w:rPr>
          <w:color w:val="000000"/>
          <w:spacing w:val="-2"/>
          <w:shd w:fill="FBFBFB" w:color="auto" w:val="clear"/>
        </w:rPr>
        <w:t> </w:t>
      </w:r>
      <w:r>
        <w:rPr>
          <w:color w:val="000000"/>
          <w:shd w:fill="FBFBFB" w:color="auto" w:val="clear"/>
        </w:rPr>
        <w:t>physical</w:t>
      </w:r>
    </w:p>
    <w:p>
      <w:pPr>
        <w:pStyle w:val="BodyText"/>
        <w:ind w:left="0"/>
        <w:rPr>
          <w:sz w:val="16"/>
        </w:rPr>
      </w:pPr>
    </w:p>
    <w:p>
      <w:pPr>
        <w:pStyle w:val="BodyText"/>
        <w:spacing w:before="90"/>
      </w:pPr>
      <w:r>
        <w:rPr>
          <w:color w:val="000000"/>
          <w:shd w:fill="FBFBFB" w:color="auto" w:val="clear"/>
        </w:rPr>
        <w:t>location,</w:t>
      </w:r>
      <w:r>
        <w:rPr>
          <w:color w:val="000000"/>
          <w:spacing w:val="-1"/>
          <w:shd w:fill="FBFBFB" w:color="auto" w:val="clear"/>
        </w:rPr>
        <w:t> </w:t>
      </w:r>
      <w:r>
        <w:rPr>
          <w:color w:val="000000"/>
          <w:shd w:fill="FBFBFB" w:color="auto" w:val="clear"/>
        </w:rPr>
        <w:t>proper</w:t>
      </w:r>
      <w:r>
        <w:rPr>
          <w:color w:val="000000"/>
          <w:spacing w:val="-1"/>
          <w:shd w:fill="FBFBFB" w:color="auto" w:val="clear"/>
        </w:rPr>
        <w:t> </w:t>
      </w:r>
      <w:r>
        <w:rPr>
          <w:color w:val="000000"/>
          <w:shd w:fill="FBFBFB" w:color="auto" w:val="clear"/>
        </w:rPr>
        <w:t>sanitation,</w:t>
      </w:r>
      <w:r>
        <w:rPr>
          <w:color w:val="000000"/>
          <w:spacing w:val="-1"/>
          <w:shd w:fill="FBFBFB" w:color="auto" w:val="clear"/>
        </w:rPr>
        <w:t> </w:t>
      </w:r>
      <w:r>
        <w:rPr>
          <w:color w:val="000000"/>
          <w:shd w:fill="FBFBFB" w:color="auto" w:val="clear"/>
        </w:rPr>
        <w:t>food</w:t>
      </w:r>
      <w:r>
        <w:rPr>
          <w:color w:val="000000"/>
          <w:spacing w:val="-1"/>
          <w:shd w:fill="FBFBFB" w:color="auto" w:val="clear"/>
        </w:rPr>
        <w:t> </w:t>
      </w:r>
      <w:r>
        <w:rPr>
          <w:color w:val="000000"/>
          <w:shd w:fill="FBFBFB" w:color="auto" w:val="clear"/>
        </w:rPr>
        <w:t>security, and</w:t>
      </w:r>
      <w:r>
        <w:rPr>
          <w:color w:val="000000"/>
          <w:spacing w:val="58"/>
          <w:shd w:fill="FBFBFB" w:color="auto" w:val="clear"/>
        </w:rPr>
        <w:t> </w:t>
      </w:r>
      <w:r>
        <w:rPr>
          <w:color w:val="000000"/>
          <w:shd w:fill="FBFBFB" w:color="auto" w:val="clear"/>
        </w:rPr>
        <w:t>vector-borne</w:t>
      </w:r>
      <w:r>
        <w:rPr>
          <w:color w:val="000000"/>
          <w:spacing w:val="-3"/>
          <w:shd w:fill="FBFBFB" w:color="auto" w:val="clear"/>
        </w:rPr>
        <w:t> </w:t>
      </w:r>
      <w:r>
        <w:rPr>
          <w:color w:val="000000"/>
          <w:shd w:fill="FBFBFB" w:color="auto" w:val="clear"/>
        </w:rPr>
        <w:t>diseases against</w:t>
      </w:r>
      <w:r>
        <w:rPr>
          <w:color w:val="000000"/>
          <w:spacing w:val="-1"/>
          <w:shd w:fill="FBFBFB" w:color="auto" w:val="clear"/>
        </w:rPr>
        <w:t> </w:t>
      </w:r>
      <w:r>
        <w:rPr>
          <w:color w:val="000000"/>
          <w:shd w:fill="FBFBFB" w:color="auto" w:val="clear"/>
        </w:rPr>
        <w:t>the</w:t>
      </w:r>
      <w:r>
        <w:rPr>
          <w:color w:val="000000"/>
          <w:spacing w:val="-1"/>
          <w:shd w:fill="FBFBFB" w:color="auto" w:val="clear"/>
        </w:rPr>
        <w:t> </w:t>
      </w:r>
      <w:r>
        <w:rPr>
          <w:color w:val="000000"/>
          <w:shd w:fill="FBFBFB" w:color="auto" w:val="clear"/>
        </w:rPr>
        <w:t>backdrop</w:t>
      </w:r>
      <w:r>
        <w:rPr>
          <w:color w:val="000000"/>
          <w:spacing w:val="-1"/>
          <w:shd w:fill="FBFBFB" w:color="auto" w:val="clear"/>
        </w:rPr>
        <w:t> </w:t>
      </w:r>
      <w:r>
        <w:rPr>
          <w:color w:val="000000"/>
          <w:shd w:fill="FBFBFB" w:color="auto" w:val="clear"/>
        </w:rPr>
        <w:t>of</w:t>
      </w:r>
    </w:p>
    <w:p>
      <w:pPr>
        <w:pStyle w:val="BodyText"/>
        <w:spacing w:before="11"/>
        <w:ind w:left="0"/>
        <w:rPr>
          <w:sz w:val="15"/>
        </w:rPr>
      </w:pPr>
    </w:p>
    <w:p>
      <w:pPr>
        <w:pStyle w:val="BodyText"/>
        <w:spacing w:before="90"/>
      </w:pPr>
      <w:r>
        <w:rPr>
          <w:color w:val="000000"/>
          <w:shd w:fill="FBFBFB" w:color="auto" w:val="clear"/>
        </w:rPr>
        <w:t>climate</w:t>
      </w:r>
      <w:r>
        <w:rPr>
          <w:color w:val="000000"/>
          <w:spacing w:val="-2"/>
          <w:shd w:fill="FBFBFB" w:color="auto" w:val="clear"/>
        </w:rPr>
        <w:t> </w:t>
      </w:r>
      <w:r>
        <w:rPr>
          <w:color w:val="000000"/>
          <w:shd w:fill="FBFBFB" w:color="auto" w:val="clear"/>
        </w:rPr>
        <w:t>change,</w:t>
      </w:r>
      <w:r>
        <w:rPr>
          <w:color w:val="000000"/>
          <w:spacing w:val="1"/>
          <w:shd w:fill="FBFBFB" w:color="auto" w:val="clear"/>
        </w:rPr>
        <w:t> </w:t>
      </w:r>
      <w:r>
        <w:rPr>
          <w:color w:val="000000"/>
          <w:shd w:fill="FBFBFB" w:color="auto" w:val="clear"/>
        </w:rPr>
        <w:t>and</w:t>
      </w:r>
      <w:r>
        <w:rPr>
          <w:color w:val="000000"/>
          <w:spacing w:val="-1"/>
          <w:shd w:fill="FBFBFB" w:color="auto" w:val="clear"/>
        </w:rPr>
        <w:t> </w:t>
      </w:r>
      <w:r>
        <w:rPr>
          <w:color w:val="000000"/>
          <w:shd w:fill="FBFBFB" w:color="auto" w:val="clear"/>
        </w:rPr>
        <w:t>modeling</w:t>
      </w:r>
      <w:r>
        <w:rPr>
          <w:color w:val="000000"/>
          <w:spacing w:val="58"/>
          <w:shd w:fill="FBFBFB" w:color="auto" w:val="clear"/>
        </w:rPr>
        <w:t> </w:t>
      </w:r>
      <w:r>
        <w:rPr>
          <w:color w:val="000000"/>
          <w:shd w:fill="FBFBFB" w:color="auto" w:val="clear"/>
        </w:rPr>
        <w:t>its</w:t>
      </w:r>
      <w:r>
        <w:rPr>
          <w:color w:val="000000"/>
          <w:spacing w:val="-1"/>
          <w:shd w:fill="FBFBFB" w:color="auto" w:val="clear"/>
        </w:rPr>
        <w:t> </w:t>
      </w:r>
      <w:r>
        <w:rPr>
          <w:color w:val="000000"/>
          <w:shd w:fill="FBFBFB" w:color="auto" w:val="clear"/>
        </w:rPr>
        <w:t>effect</w:t>
      </w:r>
      <w:r>
        <w:rPr>
          <w:color w:val="000000"/>
          <w:spacing w:val="-1"/>
          <w:shd w:fill="FBFBFB" w:color="auto" w:val="clear"/>
        </w:rPr>
        <w:t> </w:t>
      </w:r>
      <w:r>
        <w:rPr>
          <w:color w:val="000000"/>
          <w:shd w:fill="FBFBFB" w:color="auto" w:val="clear"/>
        </w:rPr>
        <w:t>on the</w:t>
      </w:r>
      <w:r>
        <w:rPr>
          <w:color w:val="000000"/>
          <w:spacing w:val="-2"/>
          <w:shd w:fill="FBFBFB" w:color="auto" w:val="clear"/>
        </w:rPr>
        <w:t> </w:t>
      </w:r>
      <w:r>
        <w:rPr>
          <w:color w:val="000000"/>
          <w:shd w:fill="FBFBFB" w:color="auto" w:val="clear"/>
        </w:rPr>
        <w:t>susceptible</w:t>
      </w:r>
      <w:r>
        <w:rPr>
          <w:color w:val="000000"/>
          <w:spacing w:val="-1"/>
          <w:shd w:fill="FBFBFB" w:color="auto" w:val="clear"/>
        </w:rPr>
        <w:t> </w:t>
      </w:r>
      <w:r>
        <w:rPr>
          <w:color w:val="000000"/>
          <w:shd w:fill="FBFBFB" w:color="auto" w:val="clear"/>
        </w:rPr>
        <w:t>urban population.</w:t>
      </w:r>
    </w:p>
    <w:p>
      <w:pPr>
        <w:spacing w:after="0"/>
        <w:sectPr>
          <w:pgSz w:w="12240" w:h="15840"/>
          <w:pgMar w:top="1360" w:bottom="280" w:left="1220" w:right="1180"/>
        </w:sectPr>
      </w:pPr>
    </w:p>
    <w:p>
      <w:pPr>
        <w:pStyle w:val="BodyText"/>
        <w:spacing w:line="477" w:lineRule="auto" w:before="74"/>
        <w:ind w:right="561"/>
      </w:pPr>
      <w:r>
        <w:rPr/>
        <w:t>Integrating</w:t>
      </w:r>
      <w:r>
        <w:rPr>
          <w:spacing w:val="-4"/>
        </w:rPr>
        <w:t> </w:t>
      </w:r>
      <w:r>
        <w:rPr/>
        <w:t>qualitative</w:t>
      </w:r>
      <w:r>
        <w:rPr>
          <w:spacing w:val="-1"/>
        </w:rPr>
        <w:t> </w:t>
      </w:r>
      <w:r>
        <w:rPr/>
        <w:t>and</w:t>
      </w:r>
      <w:r>
        <w:rPr>
          <w:spacing w:val="-1"/>
        </w:rPr>
        <w:t> </w:t>
      </w:r>
      <w:r>
        <w:rPr/>
        <w:t>quantitative</w:t>
      </w:r>
      <w:r>
        <w:rPr>
          <w:spacing w:val="-1"/>
        </w:rPr>
        <w:t> </w:t>
      </w:r>
      <w:r>
        <w:rPr/>
        <w:t>data</w:t>
      </w:r>
      <w:r>
        <w:rPr>
          <w:spacing w:val="-1"/>
        </w:rPr>
        <w:t> </w:t>
      </w:r>
      <w:r>
        <w:rPr/>
        <w:t>combine a</w:t>
      </w:r>
      <w:r>
        <w:rPr>
          <w:spacing w:val="-2"/>
        </w:rPr>
        <w:t> </w:t>
      </w:r>
      <w:r>
        <w:rPr/>
        <w:t>systematic</w:t>
      </w:r>
      <w:r>
        <w:rPr>
          <w:spacing w:val="-2"/>
        </w:rPr>
        <w:t> </w:t>
      </w:r>
      <w:r>
        <w:rPr/>
        <w:t>review,</w:t>
      </w:r>
      <w:r>
        <w:rPr>
          <w:spacing w:val="-1"/>
        </w:rPr>
        <w:t> </w:t>
      </w:r>
      <w:r>
        <w:rPr/>
        <w:t>policy</w:t>
      </w:r>
      <w:r>
        <w:rPr>
          <w:spacing w:val="-6"/>
        </w:rPr>
        <w:t> </w:t>
      </w:r>
      <w:r>
        <w:rPr/>
        <w:t>analysis, risk</w:t>
      </w:r>
      <w:r>
        <w:rPr>
          <w:spacing w:val="-57"/>
        </w:rPr>
        <w:t> </w:t>
      </w:r>
      <w:r>
        <w:rPr/>
        <w:t>factor modeling, situational analysis, and theoretical framework development on the</w:t>
      </w:r>
      <w:r>
        <w:rPr>
          <w:spacing w:val="1"/>
        </w:rPr>
        <w:t> </w:t>
      </w:r>
      <w:r>
        <w:rPr/>
        <w:t>aforementioned</w:t>
      </w:r>
      <w:r>
        <w:rPr>
          <w:spacing w:val="-1"/>
        </w:rPr>
        <w:t> </w:t>
      </w:r>
      <w:r>
        <w:rPr/>
        <w:t>researched</w:t>
      </w:r>
      <w:r>
        <w:rPr>
          <w:spacing w:val="2"/>
        </w:rPr>
        <w:t> </w:t>
      </w:r>
      <w:r>
        <w:rPr/>
        <w:t>urban case</w:t>
      </w:r>
      <w:r>
        <w:rPr>
          <w:spacing w:val="-1"/>
        </w:rPr>
        <w:t> </w:t>
      </w:r>
      <w:r>
        <w:rPr/>
        <w:t>studies.</w:t>
      </w:r>
    </w:p>
    <w:p>
      <w:pPr>
        <w:pStyle w:val="BodyText"/>
        <w:spacing w:before="9"/>
        <w:ind w:left="0"/>
      </w:pPr>
    </w:p>
    <w:p>
      <w:pPr>
        <w:pStyle w:val="Heading1"/>
        <w:rPr>
          <w:rFonts w:ascii="Calibri"/>
        </w:rPr>
      </w:pPr>
      <w:r>
        <w:rPr>
          <w:rFonts w:ascii="Calibri"/>
          <w:color w:val="1F1F1E"/>
        </w:rPr>
        <w:t>Outputs</w:t>
      </w:r>
      <w:r>
        <w:rPr>
          <w:rFonts w:ascii="Calibri"/>
          <w:color w:val="1F1F1E"/>
          <w:spacing w:val="-1"/>
        </w:rPr>
        <w:t> </w:t>
      </w:r>
      <w:r>
        <w:rPr>
          <w:rFonts w:ascii="Calibri"/>
          <w:color w:val="1F1F1E"/>
        </w:rPr>
        <w:t>/</w:t>
      </w:r>
      <w:r>
        <w:rPr>
          <w:rFonts w:ascii="Calibri"/>
          <w:color w:val="1F1F1E"/>
          <w:spacing w:val="-2"/>
        </w:rPr>
        <w:t> </w:t>
      </w:r>
      <w:r>
        <w:rPr>
          <w:rFonts w:ascii="Calibri"/>
          <w:color w:val="1F1F1E"/>
        </w:rPr>
        <w:t>outcomes</w:t>
      </w:r>
    </w:p>
    <w:p>
      <w:pPr>
        <w:pStyle w:val="BodyText"/>
        <w:spacing w:before="5"/>
        <w:ind w:left="0"/>
        <w:rPr>
          <w:rFonts w:ascii="Calibri"/>
          <w:b/>
          <w:sz w:val="22"/>
        </w:rPr>
      </w:pPr>
    </w:p>
    <w:p>
      <w:pPr>
        <w:pStyle w:val="BodyText"/>
        <w:spacing w:line="480" w:lineRule="auto"/>
        <w:ind w:right="273"/>
      </w:pPr>
      <w:r>
        <w:rPr/>
        <w:t>The outcome of this research is to identify gaps and assess urban population and systems</w:t>
      </w:r>
      <w:r>
        <w:rPr>
          <w:spacing w:val="1"/>
        </w:rPr>
        <w:t> </w:t>
      </w:r>
      <w:r>
        <w:rPr/>
        <w:t>vulnerabilities to promote population</w:t>
      </w:r>
      <w:r>
        <w:rPr>
          <w:spacing w:val="1"/>
        </w:rPr>
        <w:t> </w:t>
      </w:r>
      <w:r>
        <w:rPr/>
        <w:t>health in a changing climate and determine key points of</w:t>
      </w:r>
      <w:r>
        <w:rPr>
          <w:spacing w:val="1"/>
        </w:rPr>
        <w:t> </w:t>
      </w:r>
      <w:r>
        <w:rPr/>
        <w:t>intervention to develop capacity building and implement climate resilience, socio-economic</w:t>
      </w:r>
      <w:r>
        <w:rPr>
          <w:spacing w:val="1"/>
        </w:rPr>
        <w:t> </w:t>
      </w:r>
      <w:r>
        <w:rPr/>
        <w:t>equity and balance of the</w:t>
      </w:r>
      <w:r>
        <w:rPr>
          <w:spacing w:val="60"/>
        </w:rPr>
        <w:t> </w:t>
      </w:r>
      <w:r>
        <w:rPr/>
        <w:t>health system. An improved framework for planning for climate</w:t>
      </w:r>
      <w:r>
        <w:rPr>
          <w:spacing w:val="1"/>
        </w:rPr>
        <w:t> </w:t>
      </w:r>
      <w:r>
        <w:rPr/>
        <w:t>change and extreme weather events impacts on public health utilizing advanced probabilistic</w:t>
      </w:r>
      <w:r>
        <w:rPr>
          <w:spacing w:val="1"/>
        </w:rPr>
        <w:t> </w:t>
      </w:r>
      <w:r>
        <w:rPr/>
        <w:t>methods assessing vulnerabilities, increasing capacity for adaptation, and risk management</w:t>
      </w:r>
      <w:r>
        <w:rPr>
          <w:spacing w:val="1"/>
        </w:rPr>
        <w:t> </w:t>
      </w:r>
      <w:r>
        <w:rPr/>
        <w:t>strategies would benefit communities across nations as we now recognize that the climate is non-</w:t>
      </w:r>
      <w:r>
        <w:rPr>
          <w:spacing w:val="-57"/>
        </w:rPr>
        <w:t> </w:t>
      </w:r>
      <w:r>
        <w:rPr/>
        <w:t>stationary so that historical statistics are a poor guide to current and future risks. The recognition</w:t>
      </w:r>
      <w:r>
        <w:rPr>
          <w:spacing w:val="1"/>
        </w:rPr>
        <w:t> </w:t>
      </w:r>
      <w:r>
        <w:rPr/>
        <w:t>of greater interdependence among institutions and communities is also a needed critical element</w:t>
      </w:r>
      <w:r>
        <w:rPr>
          <w:spacing w:val="1"/>
        </w:rPr>
        <w:t> </w:t>
      </w:r>
      <w:r>
        <w:rPr/>
        <w:t>of a strategic planning model, as the interrelationship of health systems, and climate change</w:t>
      </w:r>
      <w:r>
        <w:rPr>
          <w:spacing w:val="1"/>
        </w:rPr>
        <w:t> </w:t>
      </w:r>
      <w:r>
        <w:rPr/>
        <w:t>impacts in urban areas with their economic, social, cultural, and technological support systems,</w:t>
      </w:r>
      <w:r>
        <w:rPr>
          <w:spacing w:val="1"/>
        </w:rPr>
        <w:t> </w:t>
      </w:r>
      <w:r>
        <w:rPr/>
        <w:t>and systems of food distribution and consumption are ever more interdependent. These concepts</w:t>
      </w:r>
      <w:r>
        <w:rPr>
          <w:spacing w:val="1"/>
        </w:rPr>
        <w:t> </w:t>
      </w:r>
      <w:r>
        <w:rPr/>
        <w:t>and broader theoretical framework could well be applicable to broader disaster planning and</w:t>
      </w:r>
      <w:r>
        <w:rPr>
          <w:spacing w:val="1"/>
        </w:rPr>
        <w:t> </w:t>
      </w:r>
      <w:r>
        <w:rPr/>
        <w:t>levering sustainable health systems to cope with emerging global health risks and reduce the</w:t>
      </w:r>
      <w:r>
        <w:rPr>
          <w:spacing w:val="1"/>
        </w:rPr>
        <w:t> </w:t>
      </w:r>
      <w:r>
        <w:rPr/>
        <w:t>detrimental impact associated with public health hazards, and severe climatic events. A paradigm</w:t>
      </w:r>
      <w:r>
        <w:rPr>
          <w:spacing w:val="-57"/>
        </w:rPr>
        <w:t> </w:t>
      </w:r>
      <w:r>
        <w:rPr/>
        <w:t>shift in the way of thinking and acting toward climate change is needed to radically shift the</w:t>
      </w:r>
      <w:r>
        <w:rPr>
          <w:spacing w:val="1"/>
        </w:rPr>
        <w:t> </w:t>
      </w:r>
      <w:r>
        <w:rPr/>
        <w:t>course of climate change impacts on</w:t>
      </w:r>
      <w:r>
        <w:rPr>
          <w:spacing w:val="1"/>
        </w:rPr>
        <w:t> </w:t>
      </w:r>
      <w:r>
        <w:rPr/>
        <w:t>health and the urban poor. Now is the time to implement</w:t>
      </w:r>
      <w:r>
        <w:rPr>
          <w:spacing w:val="1"/>
        </w:rPr>
        <w:t> </w:t>
      </w:r>
      <w:r>
        <w:rPr/>
        <w:t>proactive rather than reactive management of climate change risks in order to advocate for the</w:t>
      </w:r>
      <w:r>
        <w:rPr>
          <w:spacing w:val="1"/>
        </w:rPr>
        <w:t> </w:t>
      </w:r>
      <w:r>
        <w:rPr/>
        <w:t>well-being</w:t>
      </w:r>
      <w:r>
        <w:rPr>
          <w:spacing w:val="-4"/>
        </w:rPr>
        <w:t> </w:t>
      </w:r>
      <w:r>
        <w:rPr/>
        <w:t>of the global</w:t>
      </w:r>
      <w:r>
        <w:rPr>
          <w:spacing w:val="2"/>
        </w:rPr>
        <w:t> </w:t>
      </w:r>
      <w:r>
        <w:rPr/>
        <w:t>community.</w:t>
      </w:r>
    </w:p>
    <w:p>
      <w:pPr>
        <w:spacing w:after="0" w:line="480" w:lineRule="auto"/>
        <w:sectPr>
          <w:pgSz w:w="12240" w:h="15840"/>
          <w:pgMar w:top="1360" w:bottom="280" w:left="1220" w:right="1180"/>
        </w:sectPr>
      </w:pPr>
    </w:p>
    <w:p>
      <w:pPr>
        <w:pStyle w:val="Heading1"/>
        <w:spacing w:before="78"/>
      </w:pPr>
      <w:r>
        <w:rPr/>
        <w:t>References</w:t>
      </w:r>
    </w:p>
    <w:p>
      <w:pPr>
        <w:pStyle w:val="BodyText"/>
        <w:spacing w:line="276" w:lineRule="auto" w:before="253"/>
        <w:ind w:right="434"/>
      </w:pPr>
      <w:r>
        <w:rPr/>
        <w:t>Anguelovski I, Connolly JJT, Pearsall H, Shokry G, Checker M, Maantay J, Gould K, Lewis T,</w:t>
      </w:r>
      <w:r>
        <w:rPr>
          <w:spacing w:val="-58"/>
        </w:rPr>
        <w:t> </w:t>
      </w:r>
      <w:r>
        <w:rPr/>
        <w:t>Maroko A, and Roberts JT. (2019). Why green “climate gentrification” threatens poor and</w:t>
      </w:r>
      <w:r>
        <w:rPr>
          <w:spacing w:val="1"/>
        </w:rPr>
        <w:t> </w:t>
      </w:r>
      <w:r>
        <w:rPr/>
        <w:t>vulnerable populations. Proceedings of the National Academy of Sciences, 116(52):26139–</w:t>
      </w:r>
      <w:r>
        <w:rPr>
          <w:spacing w:val="1"/>
        </w:rPr>
        <w:t> </w:t>
      </w:r>
      <w:r>
        <w:rPr/>
        <w:t>26143. doi: 10.1073/ pnas.1920490117.</w:t>
      </w:r>
    </w:p>
    <w:p>
      <w:pPr>
        <w:pStyle w:val="BodyText"/>
        <w:spacing w:line="276" w:lineRule="auto" w:before="199"/>
        <w:ind w:right="536"/>
      </w:pPr>
      <w:r>
        <w:rPr/>
        <w:t>Arcaya,</w:t>
      </w:r>
      <w:r>
        <w:rPr>
          <w:spacing w:val="-2"/>
        </w:rPr>
        <w:t> </w:t>
      </w:r>
      <w:r>
        <w:rPr/>
        <w:t>M.</w:t>
      </w:r>
      <w:r>
        <w:rPr>
          <w:spacing w:val="-2"/>
        </w:rPr>
        <w:t> </w:t>
      </w:r>
      <w:r>
        <w:rPr/>
        <w:t>C.,</w:t>
      </w:r>
      <w:r>
        <w:rPr>
          <w:spacing w:val="-2"/>
        </w:rPr>
        <w:t> </w:t>
      </w:r>
      <w:r>
        <w:rPr/>
        <w:t>Arcaya, A.</w:t>
      </w:r>
      <w:r>
        <w:rPr>
          <w:spacing w:val="-1"/>
        </w:rPr>
        <w:t> </w:t>
      </w:r>
      <w:r>
        <w:rPr/>
        <w:t>L., &amp;</w:t>
      </w:r>
      <w:r>
        <w:rPr>
          <w:spacing w:val="-3"/>
        </w:rPr>
        <w:t> </w:t>
      </w:r>
      <w:r>
        <w:rPr/>
        <w:t>Subramanian,</w:t>
      </w:r>
      <w:r>
        <w:rPr>
          <w:spacing w:val="-2"/>
        </w:rPr>
        <w:t> </w:t>
      </w:r>
      <w:r>
        <w:rPr/>
        <w:t>S.</w:t>
      </w:r>
      <w:r>
        <w:rPr>
          <w:spacing w:val="-2"/>
        </w:rPr>
        <w:t> </w:t>
      </w:r>
      <w:r>
        <w:rPr/>
        <w:t>V.</w:t>
      </w:r>
      <w:r>
        <w:rPr>
          <w:spacing w:val="-2"/>
        </w:rPr>
        <w:t> </w:t>
      </w:r>
      <w:r>
        <w:rPr/>
        <w:t>(2015). Inequalities</w:t>
      </w:r>
      <w:r>
        <w:rPr>
          <w:spacing w:val="-2"/>
        </w:rPr>
        <w:t> </w:t>
      </w:r>
      <w:r>
        <w:rPr/>
        <w:t>in</w:t>
      </w:r>
      <w:r>
        <w:rPr>
          <w:spacing w:val="-1"/>
        </w:rPr>
        <w:t> </w:t>
      </w:r>
      <w:r>
        <w:rPr/>
        <w:t>health:</w:t>
      </w:r>
      <w:r>
        <w:rPr>
          <w:spacing w:val="-2"/>
        </w:rPr>
        <w:t> </w:t>
      </w:r>
      <w:r>
        <w:rPr/>
        <w:t>definitions,</w:t>
      </w:r>
      <w:r>
        <w:rPr>
          <w:spacing w:val="-57"/>
        </w:rPr>
        <w:t> </w:t>
      </w:r>
      <w:r>
        <w:rPr/>
        <w:t>concepts,</w:t>
      </w:r>
      <w:r>
        <w:rPr>
          <w:spacing w:val="-1"/>
        </w:rPr>
        <w:t> </w:t>
      </w:r>
      <w:r>
        <w:rPr/>
        <w:t>and</w:t>
      </w:r>
      <w:r>
        <w:rPr>
          <w:spacing w:val="-1"/>
        </w:rPr>
        <w:t> </w:t>
      </w:r>
      <w:r>
        <w:rPr/>
        <w:t>theories.</w:t>
      </w:r>
      <w:r>
        <w:rPr>
          <w:spacing w:val="-1"/>
        </w:rPr>
        <w:t> </w:t>
      </w:r>
      <w:r>
        <w:rPr/>
        <w:t>Global</w:t>
      </w:r>
      <w:r>
        <w:rPr>
          <w:spacing w:val="-1"/>
        </w:rPr>
        <w:t> </w:t>
      </w:r>
      <w:r>
        <w:rPr/>
        <w:t>health</w:t>
      </w:r>
      <w:r>
        <w:rPr>
          <w:spacing w:val="-1"/>
        </w:rPr>
        <w:t> </w:t>
      </w:r>
      <w:r>
        <w:rPr/>
        <w:t>action,</w:t>
      </w:r>
      <w:r>
        <w:rPr>
          <w:spacing w:val="-1"/>
        </w:rPr>
        <w:t> </w:t>
      </w:r>
      <w:r>
        <w:rPr/>
        <w:t>8,</w:t>
      </w:r>
      <w:r>
        <w:rPr>
          <w:spacing w:val="-1"/>
        </w:rPr>
        <w:t> </w:t>
      </w:r>
      <w:r>
        <w:rPr/>
        <w:t>27106.</w:t>
      </w:r>
      <w:r>
        <w:rPr>
          <w:spacing w:val="-1"/>
        </w:rPr>
        <w:t> </w:t>
      </w:r>
      <w:r>
        <w:rPr/>
        <w:t>https://doi.org/10.3402/gha.v8.27106.</w:t>
      </w:r>
    </w:p>
    <w:p>
      <w:pPr>
        <w:pStyle w:val="BodyText"/>
        <w:spacing w:line="276" w:lineRule="auto" w:before="201"/>
        <w:ind w:right="320"/>
      </w:pPr>
      <w:r>
        <w:rPr/>
        <w:t>Arnberg, F. K., Bergh Johannesson, K., &amp; Michel, P.-O. (2013). Prevalence and duration of</w:t>
      </w:r>
      <w:r>
        <w:rPr>
          <w:spacing w:val="1"/>
        </w:rPr>
        <w:t> </w:t>
      </w:r>
      <w:r>
        <w:rPr/>
        <w:t>PTSD</w:t>
      </w:r>
      <w:r>
        <w:rPr>
          <w:spacing w:val="-1"/>
        </w:rPr>
        <w:t> </w:t>
      </w:r>
      <w:r>
        <w:rPr/>
        <w:t>in survivors 6</w:t>
      </w:r>
      <w:r>
        <w:rPr>
          <w:spacing w:val="2"/>
        </w:rPr>
        <w:t> </w:t>
      </w:r>
      <w:r>
        <w:rPr/>
        <w:t>years</w:t>
      </w:r>
      <w:r>
        <w:rPr>
          <w:spacing w:val="-1"/>
        </w:rPr>
        <w:t> </w:t>
      </w:r>
      <w:r>
        <w:rPr/>
        <w:t>after</w:t>
      </w:r>
      <w:r>
        <w:rPr>
          <w:spacing w:val="-2"/>
        </w:rPr>
        <w:t> </w:t>
      </w:r>
      <w:r>
        <w:rPr/>
        <w:t>a</w:t>
      </w:r>
      <w:r>
        <w:rPr>
          <w:spacing w:val="-1"/>
        </w:rPr>
        <w:t> </w:t>
      </w:r>
      <w:r>
        <w:rPr/>
        <w:t>natural disaster. Journal of Anxiety</w:t>
      </w:r>
      <w:r>
        <w:rPr>
          <w:spacing w:val="-8"/>
        </w:rPr>
        <w:t> </w:t>
      </w:r>
      <w:r>
        <w:rPr/>
        <w:t>Disorders,</w:t>
      </w:r>
      <w:r>
        <w:rPr>
          <w:spacing w:val="-1"/>
        </w:rPr>
        <w:t> </w:t>
      </w:r>
      <w:r>
        <w:rPr/>
        <w:t>27(3), 347–352.</w:t>
      </w:r>
    </w:p>
    <w:p>
      <w:pPr>
        <w:pStyle w:val="BodyText"/>
        <w:spacing w:line="276" w:lineRule="auto" w:before="201"/>
        <w:ind w:right="668"/>
      </w:pPr>
      <w:r>
        <w:rPr/>
        <w:t>Austin, Z., &amp; Sutton, J. (2014). Qualitative research: getting started. The Canadian journal of</w:t>
      </w:r>
      <w:r>
        <w:rPr>
          <w:spacing w:val="-58"/>
        </w:rPr>
        <w:t> </w:t>
      </w:r>
      <w:r>
        <w:rPr/>
        <w:t>hospital</w:t>
      </w:r>
      <w:r>
        <w:rPr>
          <w:spacing w:val="-1"/>
        </w:rPr>
        <w:t> </w:t>
      </w:r>
      <w:r>
        <w:rPr/>
        <w:t>pharmacy, 67(6), 436–440. </w:t>
      </w:r>
      <w:hyperlink r:id="rId11">
        <w:r>
          <w:rPr/>
          <w:t>https://doi.org/10.4212/cjhp.v67i6.1406</w:t>
        </w:r>
      </w:hyperlink>
    </w:p>
    <w:p>
      <w:pPr>
        <w:pStyle w:val="BodyText"/>
        <w:spacing w:line="276" w:lineRule="auto" w:before="200"/>
        <w:ind w:right="484"/>
      </w:pPr>
      <w:r>
        <w:rPr/>
        <w:t>Birkmann, J., Jamshed, A., McMillan, J., Feldmeyer, D., Totin, E., Solecki, W., Ibrahim, Z.,</w:t>
      </w:r>
      <w:r>
        <w:rPr>
          <w:spacing w:val="1"/>
        </w:rPr>
        <w:t> </w:t>
      </w:r>
      <w:r>
        <w:rPr/>
        <w:t>Roberts, D., Bezner Kerr, R., Poertner, H. O., Pelling, M., Djalante, R., Garschagen, M.,</w:t>
      </w:r>
      <w:r>
        <w:rPr>
          <w:spacing w:val="1"/>
        </w:rPr>
        <w:t> </w:t>
      </w:r>
      <w:r>
        <w:rPr/>
        <w:t>Leal</w:t>
      </w:r>
      <w:r>
        <w:rPr>
          <w:spacing w:val="1"/>
        </w:rPr>
        <w:t> </w:t>
      </w:r>
      <w:r>
        <w:rPr/>
        <w:t>Filho, W., Guha-Sapir, D., Alegría,A. (2022). Understanding human vulnerability to climate</w:t>
      </w:r>
      <w:r>
        <w:rPr>
          <w:spacing w:val="1"/>
        </w:rPr>
        <w:t> </w:t>
      </w:r>
      <w:r>
        <w:rPr/>
        <w:t>change:</w:t>
      </w:r>
      <w:r>
        <w:rPr>
          <w:spacing w:val="-2"/>
        </w:rPr>
        <w:t> </w:t>
      </w:r>
      <w:r>
        <w:rPr/>
        <w:t>A</w:t>
      </w:r>
      <w:r>
        <w:rPr>
          <w:spacing w:val="1"/>
        </w:rPr>
        <w:t> </w:t>
      </w:r>
      <w:r>
        <w:rPr/>
        <w:t>global</w:t>
      </w:r>
      <w:r>
        <w:rPr>
          <w:spacing w:val="-1"/>
        </w:rPr>
        <w:t> </w:t>
      </w:r>
      <w:r>
        <w:rPr/>
        <w:t>perspective</w:t>
      </w:r>
      <w:r>
        <w:rPr>
          <w:spacing w:val="-2"/>
        </w:rPr>
        <w:t> </w:t>
      </w:r>
      <w:r>
        <w:rPr/>
        <w:t>on</w:t>
      </w:r>
      <w:r>
        <w:rPr>
          <w:spacing w:val="-1"/>
        </w:rPr>
        <w:t> </w:t>
      </w:r>
      <w:r>
        <w:rPr/>
        <w:t>index validation</w:t>
      </w:r>
      <w:r>
        <w:rPr>
          <w:spacing w:val="-2"/>
        </w:rPr>
        <w:t> </w:t>
      </w:r>
      <w:r>
        <w:rPr/>
        <w:t>for</w:t>
      </w:r>
      <w:r>
        <w:rPr>
          <w:spacing w:val="-2"/>
        </w:rPr>
        <w:t> </w:t>
      </w:r>
      <w:r>
        <w:rPr/>
        <w:t>adaptation</w:t>
      </w:r>
      <w:r>
        <w:rPr>
          <w:spacing w:val="-1"/>
        </w:rPr>
        <w:t> </w:t>
      </w:r>
      <w:r>
        <w:rPr/>
        <w:t>planning, Science</w:t>
      </w:r>
      <w:r>
        <w:rPr>
          <w:spacing w:val="-2"/>
        </w:rPr>
        <w:t> </w:t>
      </w:r>
      <w:r>
        <w:rPr/>
        <w:t>of</w:t>
      </w:r>
      <w:r>
        <w:rPr>
          <w:spacing w:val="-1"/>
        </w:rPr>
        <w:t> </w:t>
      </w:r>
      <w:r>
        <w:rPr/>
        <w:t>The</w:t>
      </w:r>
      <w:r>
        <w:rPr>
          <w:spacing w:val="-2"/>
        </w:rPr>
        <w:t> </w:t>
      </w:r>
      <w:r>
        <w:rPr/>
        <w:t>Total</w:t>
      </w:r>
      <w:r>
        <w:rPr>
          <w:spacing w:val="-57"/>
        </w:rPr>
        <w:t> </w:t>
      </w:r>
      <w:r>
        <w:rPr/>
        <w:t>Environment,</w:t>
      </w:r>
      <w:r>
        <w:rPr>
          <w:spacing w:val="-2"/>
        </w:rPr>
        <w:t> </w:t>
      </w:r>
      <w:r>
        <w:rPr/>
        <w:t>Volume</w:t>
      </w:r>
      <w:r>
        <w:rPr>
          <w:spacing w:val="-1"/>
        </w:rPr>
        <w:t> </w:t>
      </w:r>
      <w:r>
        <w:rPr/>
        <w:t>803,</w:t>
      </w:r>
      <w:r>
        <w:rPr>
          <w:spacing w:val="1"/>
        </w:rPr>
        <w:t> </w:t>
      </w:r>
      <w:r>
        <w:rPr/>
        <w:t>ISSN</w:t>
      </w:r>
      <w:r>
        <w:rPr>
          <w:spacing w:val="-2"/>
        </w:rPr>
        <w:t> </w:t>
      </w:r>
      <w:r>
        <w:rPr/>
        <w:t>0048-9697,</w:t>
      </w:r>
      <w:r>
        <w:rPr>
          <w:spacing w:val="-1"/>
        </w:rPr>
        <w:t> </w:t>
      </w:r>
      <w:r>
        <w:rPr/>
        <w:t>https://doi.org/10.1016/j.scitotenv.2021.150065.</w:t>
      </w:r>
    </w:p>
    <w:p>
      <w:pPr>
        <w:pStyle w:val="BodyText"/>
        <w:spacing w:line="276" w:lineRule="auto" w:before="199"/>
        <w:ind w:right="401"/>
      </w:pPr>
      <w:r>
        <w:rPr/>
        <w:t>Brown,</w:t>
      </w:r>
      <w:r>
        <w:rPr>
          <w:spacing w:val="-1"/>
        </w:rPr>
        <w:t> </w:t>
      </w:r>
      <w:r>
        <w:rPr/>
        <w:t>Helen,</w:t>
      </w:r>
      <w:r>
        <w:rPr>
          <w:spacing w:val="-1"/>
        </w:rPr>
        <w:t> </w:t>
      </w:r>
      <w:r>
        <w:rPr/>
        <w:t>Proust, Katrina</w:t>
      </w:r>
      <w:r>
        <w:rPr>
          <w:spacing w:val="-2"/>
        </w:rPr>
        <w:t> </w:t>
      </w:r>
      <w:r>
        <w:rPr/>
        <w:t>, Spickett</w:t>
      </w:r>
      <w:r>
        <w:rPr>
          <w:spacing w:val="-1"/>
        </w:rPr>
        <w:t> </w:t>
      </w:r>
      <w:r>
        <w:rPr/>
        <w:t>Jeffery</w:t>
      </w:r>
      <w:r>
        <w:rPr>
          <w:spacing w:val="-5"/>
        </w:rPr>
        <w:t> </w:t>
      </w:r>
      <w:r>
        <w:rPr/>
        <w:t>,</w:t>
      </w:r>
      <w:r>
        <w:rPr>
          <w:spacing w:val="1"/>
        </w:rPr>
        <w:t> </w:t>
      </w:r>
      <w:r>
        <w:rPr/>
        <w:t>and Capon,</w:t>
      </w:r>
      <w:r>
        <w:rPr>
          <w:spacing w:val="-1"/>
        </w:rPr>
        <w:t> </w:t>
      </w:r>
      <w:r>
        <w:rPr/>
        <w:t>Anthony. (2011).</w:t>
      </w:r>
      <w:r>
        <w:rPr>
          <w:spacing w:val="-1"/>
        </w:rPr>
        <w:t> </w:t>
      </w:r>
      <w:r>
        <w:rPr/>
        <w:t>Potential role</w:t>
      </w:r>
      <w:r>
        <w:rPr>
          <w:spacing w:val="-2"/>
        </w:rPr>
        <w:t> </w:t>
      </w:r>
      <w:r>
        <w:rPr/>
        <w:t>of</w:t>
      </w:r>
      <w:r>
        <w:rPr>
          <w:spacing w:val="-57"/>
        </w:rPr>
        <w:t> </w:t>
      </w:r>
      <w:r>
        <w:rPr/>
        <w:t>Health Impact Assessment in tackling climate change. Health Promotion Journal of Australia ;</w:t>
      </w:r>
      <w:r>
        <w:rPr>
          <w:spacing w:val="1"/>
        </w:rPr>
        <w:t> </w:t>
      </w:r>
      <w:r>
        <w:rPr/>
        <w:t>22: S48-S53.</w:t>
      </w:r>
    </w:p>
    <w:p>
      <w:pPr>
        <w:pStyle w:val="BodyText"/>
        <w:spacing w:line="276" w:lineRule="auto" w:before="200"/>
        <w:ind w:right="635"/>
      </w:pPr>
      <w:r>
        <w:rPr/>
        <w:t>Brown,</w:t>
      </w:r>
      <w:r>
        <w:rPr>
          <w:spacing w:val="-2"/>
        </w:rPr>
        <w:t> </w:t>
      </w:r>
      <w:r>
        <w:rPr/>
        <w:t>H.,</w:t>
      </w:r>
      <w:r>
        <w:rPr>
          <w:spacing w:val="-1"/>
        </w:rPr>
        <w:t> </w:t>
      </w:r>
      <w:r>
        <w:rPr/>
        <w:t>Spickett,</w:t>
      </w:r>
      <w:r>
        <w:rPr>
          <w:spacing w:val="-1"/>
        </w:rPr>
        <w:t> </w:t>
      </w:r>
      <w:r>
        <w:rPr/>
        <w:t>J.,</w:t>
      </w:r>
      <w:r>
        <w:rPr>
          <w:spacing w:val="-4"/>
        </w:rPr>
        <w:t> </w:t>
      </w:r>
      <w:r>
        <w:rPr/>
        <w:t>&amp;</w:t>
      </w:r>
      <w:r>
        <w:rPr>
          <w:spacing w:val="-4"/>
        </w:rPr>
        <w:t> </w:t>
      </w:r>
      <w:r>
        <w:rPr/>
        <w:t>Katscherian,</w:t>
      </w:r>
      <w:r>
        <w:rPr>
          <w:spacing w:val="1"/>
        </w:rPr>
        <w:t> </w:t>
      </w:r>
      <w:r>
        <w:rPr/>
        <w:t>D.</w:t>
      </w:r>
      <w:r>
        <w:rPr>
          <w:spacing w:val="-1"/>
        </w:rPr>
        <w:t> </w:t>
      </w:r>
      <w:r>
        <w:rPr/>
        <w:t>(2014).</w:t>
      </w:r>
      <w:r>
        <w:rPr>
          <w:spacing w:val="-1"/>
        </w:rPr>
        <w:t> </w:t>
      </w:r>
      <w:r>
        <w:rPr/>
        <w:t>A</w:t>
      </w:r>
      <w:r>
        <w:rPr>
          <w:spacing w:val="-2"/>
        </w:rPr>
        <w:t> </w:t>
      </w:r>
      <w:r>
        <w:rPr/>
        <w:t>health</w:t>
      </w:r>
      <w:r>
        <w:rPr>
          <w:spacing w:val="-1"/>
        </w:rPr>
        <w:t> </w:t>
      </w:r>
      <w:r>
        <w:rPr/>
        <w:t>impact</w:t>
      </w:r>
      <w:r>
        <w:rPr>
          <w:spacing w:val="-1"/>
        </w:rPr>
        <w:t> </w:t>
      </w:r>
      <w:r>
        <w:rPr/>
        <w:t>assessment</w:t>
      </w:r>
      <w:r>
        <w:rPr>
          <w:spacing w:val="-1"/>
        </w:rPr>
        <w:t> </w:t>
      </w:r>
      <w:r>
        <w:rPr/>
        <w:t>framework</w:t>
      </w:r>
      <w:r>
        <w:rPr>
          <w:spacing w:val="-2"/>
        </w:rPr>
        <w:t> </w:t>
      </w:r>
      <w:r>
        <w:rPr/>
        <w:t>for</w:t>
      </w:r>
      <w:r>
        <w:rPr>
          <w:spacing w:val="-57"/>
        </w:rPr>
        <w:t> </w:t>
      </w:r>
      <w:r>
        <w:rPr/>
        <w:t>assessing vulnerability and adaptation planning for climate change. International journal of</w:t>
      </w:r>
      <w:r>
        <w:rPr>
          <w:spacing w:val="1"/>
        </w:rPr>
        <w:t> </w:t>
      </w:r>
      <w:r>
        <w:rPr/>
        <w:t>environ research and public health, 11(12), 12896–12914.</w:t>
      </w:r>
      <w:r>
        <w:rPr>
          <w:spacing w:val="1"/>
        </w:rPr>
        <w:t> </w:t>
      </w:r>
      <w:hyperlink r:id="rId12">
        <w:r>
          <w:rPr/>
          <w:t>https://doi.org/10.3390/ijerph111212896</w:t>
        </w:r>
      </w:hyperlink>
    </w:p>
    <w:p>
      <w:pPr>
        <w:pStyle w:val="BodyText"/>
        <w:spacing w:line="278" w:lineRule="auto" w:before="199"/>
        <w:ind w:right="135"/>
      </w:pPr>
      <w:r>
        <w:rPr/>
        <w:t>Bryman, A. &amp;</w:t>
      </w:r>
      <w:r>
        <w:rPr>
          <w:spacing w:val="1"/>
        </w:rPr>
        <w:t> </w:t>
      </w:r>
      <w:r>
        <w:rPr/>
        <w:t>Bell, E. (2007). “Business Research Methods”, 2nd edition. Oxford University</w:t>
      </w:r>
      <w:r>
        <w:rPr>
          <w:spacing w:val="-57"/>
        </w:rPr>
        <w:t> </w:t>
      </w:r>
      <w:r>
        <w:rPr/>
        <w:t>Press.</w:t>
      </w:r>
    </w:p>
    <w:p>
      <w:pPr>
        <w:pStyle w:val="BodyText"/>
        <w:spacing w:line="276" w:lineRule="auto" w:before="195"/>
        <w:ind w:right="384"/>
      </w:pPr>
      <w:r>
        <w:rPr/>
        <w:t>Cardona, O.D., M.K. van Aalst, J. Birkmann, M. Fordham, G. McGregor, R. Perez, R.S.</w:t>
      </w:r>
      <w:r>
        <w:rPr>
          <w:spacing w:val="1"/>
        </w:rPr>
        <w:t> </w:t>
      </w:r>
      <w:r>
        <w:rPr/>
        <w:t>Pulwarty, E.L.F. Schipper, and B.T. Sinh. (2012). Determinants of risk: exposure and</w:t>
      </w:r>
      <w:r>
        <w:rPr>
          <w:spacing w:val="1"/>
        </w:rPr>
        <w:t> </w:t>
      </w:r>
      <w:r>
        <w:rPr/>
        <w:t>vulnerability. In: Managing the Risks of Extreme Events and Disasters to Advance Climate</w:t>
      </w:r>
      <w:r>
        <w:rPr>
          <w:spacing w:val="1"/>
        </w:rPr>
        <w:t> </w:t>
      </w:r>
      <w:r>
        <w:rPr/>
        <w:t>Change Adaptation [Field, C.B., V. Barros, T.F. Stocker, D. Qin, D.J. Dokken, K.L. Ebi, M.D.</w:t>
      </w:r>
      <w:r>
        <w:rPr>
          <w:spacing w:val="1"/>
        </w:rPr>
        <w:t> </w:t>
      </w:r>
      <w:r>
        <w:rPr/>
        <w:t>Mastrandrea, K.J. Mach, G.-K. Plattner, S.K. Allen, M. Tignor, and P.M. Midgley (eds.)]. A</w:t>
      </w:r>
      <w:r>
        <w:rPr>
          <w:spacing w:val="1"/>
        </w:rPr>
        <w:t> </w:t>
      </w:r>
      <w:r>
        <w:rPr/>
        <w:t>Special</w:t>
      </w:r>
      <w:r>
        <w:rPr>
          <w:spacing w:val="-1"/>
        </w:rPr>
        <w:t> </w:t>
      </w:r>
      <w:r>
        <w:rPr/>
        <w:t>Report</w:t>
      </w:r>
      <w:r>
        <w:rPr>
          <w:spacing w:val="-1"/>
        </w:rPr>
        <w:t> </w:t>
      </w:r>
      <w:r>
        <w:rPr/>
        <w:t>of</w:t>
      </w:r>
      <w:r>
        <w:rPr>
          <w:spacing w:val="-1"/>
        </w:rPr>
        <w:t> </w:t>
      </w:r>
      <w:r>
        <w:rPr/>
        <w:t>Working</w:t>
      </w:r>
      <w:r>
        <w:rPr>
          <w:spacing w:val="-3"/>
        </w:rPr>
        <w:t> </w:t>
      </w:r>
      <w:r>
        <w:rPr/>
        <w:t>Groups I</w:t>
      </w:r>
      <w:r>
        <w:rPr>
          <w:spacing w:val="-5"/>
        </w:rPr>
        <w:t> </w:t>
      </w:r>
      <w:r>
        <w:rPr/>
        <w:t>and</w:t>
      </w:r>
      <w:r>
        <w:rPr>
          <w:spacing w:val="1"/>
        </w:rPr>
        <w:t> </w:t>
      </w:r>
      <w:r>
        <w:rPr/>
        <w:t>II</w:t>
      </w:r>
      <w:r>
        <w:rPr>
          <w:spacing w:val="-3"/>
        </w:rPr>
        <w:t> </w:t>
      </w:r>
      <w:r>
        <w:rPr/>
        <w:t>of</w:t>
      </w:r>
      <w:r>
        <w:rPr>
          <w:spacing w:val="-2"/>
        </w:rPr>
        <w:t> </w:t>
      </w:r>
      <w:r>
        <w:rPr/>
        <w:t>the Intergovern</w:t>
      </w:r>
      <w:r>
        <w:rPr>
          <w:spacing w:val="-1"/>
        </w:rPr>
        <w:t> </w:t>
      </w:r>
      <w:r>
        <w:rPr/>
        <w:t>Panel</w:t>
      </w:r>
      <w:r>
        <w:rPr>
          <w:spacing w:val="-1"/>
        </w:rPr>
        <w:t> </w:t>
      </w:r>
      <w:r>
        <w:rPr/>
        <w:t>on</w:t>
      </w:r>
      <w:r>
        <w:rPr>
          <w:spacing w:val="-1"/>
        </w:rPr>
        <w:t> </w:t>
      </w:r>
      <w:r>
        <w:rPr/>
        <w:t>Climate</w:t>
      </w:r>
      <w:r>
        <w:rPr>
          <w:spacing w:val="-2"/>
        </w:rPr>
        <w:t> </w:t>
      </w:r>
      <w:r>
        <w:rPr/>
        <w:t>Change</w:t>
      </w:r>
      <w:r>
        <w:rPr>
          <w:spacing w:val="-2"/>
        </w:rPr>
        <w:t> </w:t>
      </w:r>
      <w:r>
        <w:rPr/>
        <w:t>(IPCC).</w:t>
      </w:r>
      <w:r>
        <w:rPr>
          <w:spacing w:val="-57"/>
        </w:rPr>
        <w:t> </w:t>
      </w:r>
      <w:r>
        <w:rPr/>
        <w:t>Cambridge University</w:t>
      </w:r>
      <w:r>
        <w:rPr>
          <w:spacing w:val="-5"/>
        </w:rPr>
        <w:t> </w:t>
      </w:r>
      <w:r>
        <w:rPr/>
        <w:t>Press, Cambridge,</w:t>
      </w:r>
      <w:r>
        <w:rPr>
          <w:spacing w:val="-1"/>
        </w:rPr>
        <w:t> </w:t>
      </w:r>
      <w:r>
        <w:rPr/>
        <w:t>UK, and</w:t>
      </w:r>
      <w:r>
        <w:rPr>
          <w:spacing w:val="2"/>
        </w:rPr>
        <w:t> </w:t>
      </w:r>
      <w:r>
        <w:rPr/>
        <w:t>New</w:t>
      </w:r>
      <w:r>
        <w:rPr>
          <w:spacing w:val="-1"/>
        </w:rPr>
        <w:t> </w:t>
      </w:r>
      <w:r>
        <w:rPr/>
        <w:t>York,</w:t>
      </w:r>
      <w:r>
        <w:rPr>
          <w:spacing w:val="2"/>
        </w:rPr>
        <w:t> </w:t>
      </w:r>
      <w:r>
        <w:rPr/>
        <w:t>NY, USA, pp.</w:t>
      </w:r>
      <w:r>
        <w:rPr>
          <w:spacing w:val="-1"/>
        </w:rPr>
        <w:t> </w:t>
      </w:r>
      <w:r>
        <w:rPr/>
        <w:t>65-108.</w:t>
      </w:r>
    </w:p>
    <w:p>
      <w:pPr>
        <w:spacing w:line="276" w:lineRule="auto" w:before="201"/>
        <w:ind w:left="220" w:right="280" w:firstLine="0"/>
        <w:jc w:val="left"/>
        <w:rPr>
          <w:sz w:val="24"/>
        </w:rPr>
      </w:pPr>
      <w:r>
        <w:rPr>
          <w:sz w:val="24"/>
        </w:rPr>
        <w:t>Charlson,</w:t>
      </w:r>
      <w:r>
        <w:rPr>
          <w:spacing w:val="-1"/>
          <w:sz w:val="24"/>
        </w:rPr>
        <w:t> </w:t>
      </w:r>
      <w:r>
        <w:rPr>
          <w:sz w:val="24"/>
        </w:rPr>
        <w:t>F., Ali,</w:t>
      </w:r>
      <w:r>
        <w:rPr>
          <w:spacing w:val="-1"/>
          <w:sz w:val="24"/>
        </w:rPr>
        <w:t> </w:t>
      </w:r>
      <w:r>
        <w:rPr>
          <w:sz w:val="24"/>
        </w:rPr>
        <w:t>S.,</w:t>
      </w:r>
      <w:r>
        <w:rPr>
          <w:spacing w:val="-1"/>
          <w:sz w:val="24"/>
        </w:rPr>
        <w:t> </w:t>
      </w:r>
      <w:r>
        <w:rPr>
          <w:sz w:val="24"/>
        </w:rPr>
        <w:t>Benmarhnia, T.,</w:t>
      </w:r>
      <w:r>
        <w:rPr>
          <w:spacing w:val="-1"/>
          <w:sz w:val="24"/>
        </w:rPr>
        <w:t> </w:t>
      </w:r>
      <w:r>
        <w:rPr>
          <w:sz w:val="24"/>
        </w:rPr>
        <w:t>Pearl, M.,</w:t>
      </w:r>
      <w:r>
        <w:rPr>
          <w:spacing w:val="-1"/>
          <w:sz w:val="24"/>
        </w:rPr>
        <w:t> </w:t>
      </w:r>
      <w:r>
        <w:rPr>
          <w:sz w:val="24"/>
        </w:rPr>
        <w:t>Massazza, A.,</w:t>
      </w:r>
      <w:r>
        <w:rPr>
          <w:spacing w:val="-1"/>
          <w:sz w:val="24"/>
        </w:rPr>
        <w:t> </w:t>
      </w:r>
      <w:r>
        <w:rPr>
          <w:sz w:val="24"/>
        </w:rPr>
        <w:t>Augustinavicius, J.,</w:t>
      </w:r>
      <w:r>
        <w:rPr>
          <w:spacing w:val="-1"/>
          <w:sz w:val="24"/>
        </w:rPr>
        <w:t> </w:t>
      </w:r>
      <w:r>
        <w:rPr>
          <w:sz w:val="24"/>
        </w:rPr>
        <w:t>&amp;</w:t>
      </w:r>
      <w:r>
        <w:rPr>
          <w:spacing w:val="-2"/>
          <w:sz w:val="24"/>
        </w:rPr>
        <w:t> </w:t>
      </w:r>
      <w:r>
        <w:rPr>
          <w:sz w:val="24"/>
        </w:rPr>
        <w:t>Scott,</w:t>
      </w:r>
      <w:r>
        <w:rPr>
          <w:spacing w:val="-3"/>
          <w:sz w:val="24"/>
        </w:rPr>
        <w:t> </w:t>
      </w:r>
      <w:r>
        <w:rPr>
          <w:sz w:val="24"/>
        </w:rPr>
        <w:t>J.</w:t>
      </w:r>
      <w:r>
        <w:rPr>
          <w:spacing w:val="-1"/>
          <w:sz w:val="24"/>
        </w:rPr>
        <w:t> </w:t>
      </w:r>
      <w:r>
        <w:rPr>
          <w:sz w:val="24"/>
        </w:rPr>
        <w:t>G.</w:t>
      </w:r>
      <w:r>
        <w:rPr>
          <w:spacing w:val="-57"/>
          <w:sz w:val="24"/>
        </w:rPr>
        <w:t> </w:t>
      </w:r>
      <w:r>
        <w:rPr>
          <w:sz w:val="24"/>
        </w:rPr>
        <w:t>(2021). Climate Change and</w:t>
      </w:r>
      <w:r>
        <w:rPr>
          <w:spacing w:val="1"/>
          <w:sz w:val="24"/>
        </w:rPr>
        <w:t> </w:t>
      </w:r>
      <w:r>
        <w:rPr>
          <w:sz w:val="24"/>
        </w:rPr>
        <w:t>Health: A Scoping Review. </w:t>
      </w:r>
      <w:r>
        <w:rPr>
          <w:i/>
          <w:sz w:val="24"/>
        </w:rPr>
        <w:t>International Journal of Environ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Research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and Public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Health</w:t>
      </w:r>
      <w:r>
        <w:rPr>
          <w:sz w:val="24"/>
        </w:rPr>
        <w:t>, </w:t>
      </w:r>
      <w:r>
        <w:rPr>
          <w:i/>
          <w:sz w:val="24"/>
        </w:rPr>
        <w:t>18</w:t>
      </w:r>
      <w:r>
        <w:rPr>
          <w:sz w:val="24"/>
        </w:rPr>
        <w:t>(9), 4486. doi:10.3390/ijerph18094486</w:t>
      </w:r>
    </w:p>
    <w:p>
      <w:pPr>
        <w:spacing w:after="0" w:line="276" w:lineRule="auto"/>
        <w:jc w:val="left"/>
        <w:rPr>
          <w:sz w:val="24"/>
        </w:rPr>
        <w:sectPr>
          <w:pgSz w:w="12240" w:h="15840"/>
          <w:pgMar w:top="1360" w:bottom="280" w:left="1220" w:right="1180"/>
        </w:sectPr>
      </w:pPr>
    </w:p>
    <w:p>
      <w:pPr>
        <w:spacing w:line="276" w:lineRule="auto" w:before="74"/>
        <w:ind w:left="220" w:right="331" w:firstLine="0"/>
        <w:jc w:val="left"/>
        <w:rPr>
          <w:sz w:val="24"/>
        </w:rPr>
      </w:pPr>
      <w:r>
        <w:rPr>
          <w:color w:val="000000"/>
          <w:sz w:val="24"/>
          <w:shd w:fill="FBFBFB" w:color="auto" w:val="clear"/>
        </w:rPr>
        <w:t>Chen,</w:t>
      </w:r>
      <w:r>
        <w:rPr>
          <w:color w:val="000000"/>
          <w:spacing w:val="-1"/>
          <w:sz w:val="24"/>
          <w:shd w:fill="FBFBFB" w:color="auto" w:val="clear"/>
        </w:rPr>
        <w:t> </w:t>
      </w:r>
      <w:r>
        <w:rPr>
          <w:color w:val="000000"/>
          <w:sz w:val="24"/>
          <w:shd w:fill="FBFBFB" w:color="auto" w:val="clear"/>
        </w:rPr>
        <w:t>W.,</w:t>
      </w:r>
      <w:r>
        <w:rPr>
          <w:color w:val="000000"/>
          <w:spacing w:val="-1"/>
          <w:sz w:val="24"/>
          <w:shd w:fill="FBFBFB" w:color="auto" w:val="clear"/>
        </w:rPr>
        <w:t> </w:t>
      </w:r>
      <w:r>
        <w:rPr>
          <w:color w:val="000000"/>
          <w:sz w:val="24"/>
          <w:shd w:fill="FBFBFB" w:color="auto" w:val="clear"/>
        </w:rPr>
        <w:t>S.L.</w:t>
      </w:r>
      <w:r>
        <w:rPr>
          <w:color w:val="000000"/>
          <w:spacing w:val="-1"/>
          <w:sz w:val="24"/>
          <w:shd w:fill="FBFBFB" w:color="auto" w:val="clear"/>
        </w:rPr>
        <w:t> </w:t>
      </w:r>
      <w:r>
        <w:rPr>
          <w:color w:val="000000"/>
          <w:sz w:val="24"/>
          <w:shd w:fill="FBFBFB" w:color="auto" w:val="clear"/>
        </w:rPr>
        <w:t>Cutter, C.T.</w:t>
      </w:r>
      <w:r>
        <w:rPr>
          <w:color w:val="000000"/>
          <w:spacing w:val="-1"/>
          <w:sz w:val="24"/>
          <w:shd w:fill="FBFBFB" w:color="auto" w:val="clear"/>
        </w:rPr>
        <w:t> </w:t>
      </w:r>
      <w:r>
        <w:rPr>
          <w:color w:val="000000"/>
          <w:sz w:val="24"/>
          <w:shd w:fill="FBFBFB" w:color="auto" w:val="clear"/>
        </w:rPr>
        <w:t>Emrich,</w:t>
      </w:r>
      <w:r>
        <w:rPr>
          <w:color w:val="000000"/>
          <w:spacing w:val="-1"/>
          <w:sz w:val="24"/>
          <w:shd w:fill="FBFBFB" w:color="auto" w:val="clear"/>
        </w:rPr>
        <w:t> </w:t>
      </w:r>
      <w:r>
        <w:rPr>
          <w:color w:val="000000"/>
          <w:sz w:val="24"/>
          <w:shd w:fill="FBFBFB" w:color="auto" w:val="clear"/>
        </w:rPr>
        <w:t>and</w:t>
      </w:r>
      <w:r>
        <w:rPr>
          <w:color w:val="000000"/>
          <w:spacing w:val="-1"/>
          <w:sz w:val="24"/>
          <w:shd w:fill="FBFBFB" w:color="auto" w:val="clear"/>
        </w:rPr>
        <w:t> </w:t>
      </w:r>
      <w:r>
        <w:rPr>
          <w:color w:val="000000"/>
          <w:sz w:val="24"/>
          <w:shd w:fill="FBFBFB" w:color="auto" w:val="clear"/>
        </w:rPr>
        <w:t>P. Shi.</w:t>
      </w:r>
      <w:r>
        <w:rPr>
          <w:color w:val="000000"/>
          <w:spacing w:val="-1"/>
          <w:sz w:val="24"/>
          <w:shd w:fill="FBFBFB" w:color="auto" w:val="clear"/>
        </w:rPr>
        <w:t> </w:t>
      </w:r>
      <w:r>
        <w:rPr>
          <w:color w:val="000000"/>
          <w:sz w:val="24"/>
          <w:shd w:fill="FBFBFB" w:color="auto" w:val="clear"/>
        </w:rPr>
        <w:t>(2013).</w:t>
      </w:r>
      <w:r>
        <w:rPr>
          <w:color w:val="000000"/>
          <w:spacing w:val="-1"/>
          <w:sz w:val="24"/>
          <w:shd w:fill="FBFBFB" w:color="auto" w:val="clear"/>
        </w:rPr>
        <w:t> </w:t>
      </w:r>
      <w:r>
        <w:rPr>
          <w:color w:val="000000"/>
          <w:sz w:val="24"/>
          <w:shd w:fill="FBFBFB" w:color="auto" w:val="clear"/>
        </w:rPr>
        <w:t>Measuring</w:t>
      </w:r>
      <w:r>
        <w:rPr>
          <w:color w:val="000000"/>
          <w:spacing w:val="-3"/>
          <w:sz w:val="24"/>
          <w:shd w:fill="FBFBFB" w:color="auto" w:val="clear"/>
        </w:rPr>
        <w:t> </w:t>
      </w:r>
      <w:r>
        <w:rPr>
          <w:color w:val="000000"/>
          <w:sz w:val="24"/>
          <w:shd w:fill="FBFBFB" w:color="auto" w:val="clear"/>
        </w:rPr>
        <w:t>social</w:t>
      </w:r>
      <w:r>
        <w:rPr>
          <w:color w:val="000000"/>
          <w:spacing w:val="-1"/>
          <w:sz w:val="24"/>
          <w:shd w:fill="FBFBFB" w:color="auto" w:val="clear"/>
        </w:rPr>
        <w:t> </w:t>
      </w:r>
      <w:r>
        <w:rPr>
          <w:color w:val="000000"/>
          <w:sz w:val="24"/>
          <w:shd w:fill="FBFBFB" w:color="auto" w:val="clear"/>
        </w:rPr>
        <w:t>vulnerability</w:t>
      </w:r>
      <w:r>
        <w:rPr>
          <w:color w:val="000000"/>
          <w:spacing w:val="-6"/>
          <w:sz w:val="24"/>
          <w:shd w:fill="FBFBFB" w:color="auto" w:val="clear"/>
        </w:rPr>
        <w:t> </w:t>
      </w:r>
      <w:r>
        <w:rPr>
          <w:color w:val="000000"/>
          <w:sz w:val="24"/>
          <w:shd w:fill="FBFBFB" w:color="auto" w:val="clear"/>
        </w:rPr>
        <w:t>to natural</w:t>
      </w:r>
      <w:r>
        <w:rPr>
          <w:color w:val="000000"/>
          <w:spacing w:val="-57"/>
          <w:sz w:val="24"/>
        </w:rPr>
        <w:t> </w:t>
      </w:r>
      <w:r>
        <w:rPr>
          <w:color w:val="000000"/>
          <w:sz w:val="24"/>
          <w:shd w:fill="FBFBFB" w:color="auto" w:val="clear"/>
        </w:rPr>
        <w:t>hazards</w:t>
      </w:r>
      <w:r>
        <w:rPr>
          <w:color w:val="000000"/>
          <w:spacing w:val="3"/>
          <w:sz w:val="24"/>
          <w:shd w:fill="FBFBFB" w:color="auto" w:val="clear"/>
        </w:rPr>
        <w:t> </w:t>
      </w:r>
      <w:r>
        <w:rPr>
          <w:color w:val="000000"/>
          <w:sz w:val="24"/>
          <w:shd w:fill="FBFBFB" w:color="auto" w:val="clear"/>
        </w:rPr>
        <w:t>in</w:t>
      </w:r>
      <w:r>
        <w:rPr>
          <w:color w:val="000000"/>
          <w:spacing w:val="3"/>
          <w:sz w:val="24"/>
          <w:shd w:fill="FBFBFB" w:color="auto" w:val="clear"/>
        </w:rPr>
        <w:t> </w:t>
      </w:r>
      <w:r>
        <w:rPr>
          <w:color w:val="000000"/>
          <w:sz w:val="24"/>
          <w:shd w:fill="FBFBFB" w:color="auto" w:val="clear"/>
        </w:rPr>
        <w:t>the</w:t>
      </w:r>
      <w:r>
        <w:rPr>
          <w:color w:val="000000"/>
          <w:spacing w:val="4"/>
          <w:sz w:val="24"/>
          <w:shd w:fill="FBFBFB" w:color="auto" w:val="clear"/>
        </w:rPr>
        <w:t> </w:t>
      </w:r>
      <w:r>
        <w:rPr>
          <w:color w:val="000000"/>
          <w:sz w:val="24"/>
          <w:shd w:fill="FBFBFB" w:color="auto" w:val="clear"/>
        </w:rPr>
        <w:t>Yangtze</w:t>
      </w:r>
      <w:r>
        <w:rPr>
          <w:color w:val="000000"/>
          <w:spacing w:val="2"/>
          <w:sz w:val="24"/>
          <w:shd w:fill="FBFBFB" w:color="auto" w:val="clear"/>
        </w:rPr>
        <w:t> </w:t>
      </w:r>
      <w:r>
        <w:rPr>
          <w:color w:val="000000"/>
          <w:sz w:val="24"/>
          <w:shd w:fill="FBFBFB" w:color="auto" w:val="clear"/>
        </w:rPr>
        <w:t>River</w:t>
      </w:r>
      <w:r>
        <w:rPr>
          <w:color w:val="000000"/>
          <w:spacing w:val="1"/>
          <w:sz w:val="24"/>
          <w:shd w:fill="FBFBFB" w:color="auto" w:val="clear"/>
        </w:rPr>
        <w:t> </w:t>
      </w:r>
      <w:r>
        <w:rPr>
          <w:color w:val="000000"/>
          <w:sz w:val="24"/>
          <w:shd w:fill="FBFBFB" w:color="auto" w:val="clear"/>
        </w:rPr>
        <w:t>Delta</w:t>
      </w:r>
      <w:r>
        <w:rPr>
          <w:color w:val="000000"/>
          <w:spacing w:val="3"/>
          <w:sz w:val="24"/>
          <w:shd w:fill="FBFBFB" w:color="auto" w:val="clear"/>
        </w:rPr>
        <w:t> </w:t>
      </w:r>
      <w:r>
        <w:rPr>
          <w:color w:val="000000"/>
          <w:sz w:val="24"/>
          <w:shd w:fill="FBFBFB" w:color="auto" w:val="clear"/>
        </w:rPr>
        <w:t>region,</w:t>
      </w:r>
      <w:r>
        <w:rPr>
          <w:color w:val="000000"/>
          <w:spacing w:val="3"/>
          <w:sz w:val="24"/>
          <w:shd w:fill="FBFBFB" w:color="auto" w:val="clear"/>
        </w:rPr>
        <w:t> </w:t>
      </w:r>
      <w:r>
        <w:rPr>
          <w:color w:val="000000"/>
          <w:sz w:val="24"/>
          <w:shd w:fill="FBFBFB" w:color="auto" w:val="clear"/>
        </w:rPr>
        <w:t>China.</w:t>
      </w:r>
      <w:r>
        <w:rPr>
          <w:color w:val="000000"/>
          <w:spacing w:val="5"/>
          <w:sz w:val="24"/>
          <w:shd w:fill="FBFBFB" w:color="auto" w:val="clear"/>
        </w:rPr>
        <w:t> </w:t>
      </w:r>
      <w:r>
        <w:rPr>
          <w:i/>
          <w:color w:val="000000"/>
          <w:sz w:val="24"/>
          <w:shd w:fill="FBFBFB" w:color="auto" w:val="clear"/>
        </w:rPr>
        <w:t>International</w:t>
      </w:r>
      <w:r>
        <w:rPr>
          <w:i/>
          <w:color w:val="000000"/>
          <w:spacing w:val="4"/>
          <w:sz w:val="24"/>
          <w:shd w:fill="FBFBFB" w:color="auto" w:val="clear"/>
        </w:rPr>
        <w:t> </w:t>
      </w:r>
      <w:r>
        <w:rPr>
          <w:i/>
          <w:color w:val="000000"/>
          <w:sz w:val="24"/>
          <w:shd w:fill="FBFBFB" w:color="auto" w:val="clear"/>
        </w:rPr>
        <w:t>Journal</w:t>
      </w:r>
      <w:r>
        <w:rPr>
          <w:i/>
          <w:color w:val="000000"/>
          <w:spacing w:val="3"/>
          <w:sz w:val="24"/>
          <w:shd w:fill="FBFBFB" w:color="auto" w:val="clear"/>
        </w:rPr>
        <w:t> </w:t>
      </w:r>
      <w:r>
        <w:rPr>
          <w:i/>
          <w:color w:val="000000"/>
          <w:sz w:val="24"/>
          <w:shd w:fill="FBFBFB" w:color="auto" w:val="clear"/>
        </w:rPr>
        <w:t>of</w:t>
      </w:r>
      <w:r>
        <w:rPr>
          <w:i/>
          <w:color w:val="000000"/>
          <w:spacing w:val="3"/>
          <w:sz w:val="24"/>
          <w:shd w:fill="FBFBFB" w:color="auto" w:val="clear"/>
        </w:rPr>
        <w:t> </w:t>
      </w:r>
      <w:r>
        <w:rPr>
          <w:i/>
          <w:color w:val="000000"/>
          <w:sz w:val="24"/>
          <w:shd w:fill="FBFBFB" w:color="auto" w:val="clear"/>
        </w:rPr>
        <w:t>Disaster</w:t>
      </w:r>
      <w:r>
        <w:rPr>
          <w:i/>
          <w:color w:val="000000"/>
          <w:spacing w:val="4"/>
          <w:sz w:val="24"/>
          <w:shd w:fill="FBFBFB" w:color="auto" w:val="clear"/>
        </w:rPr>
        <w:t> </w:t>
      </w:r>
      <w:r>
        <w:rPr>
          <w:i/>
          <w:color w:val="000000"/>
          <w:sz w:val="24"/>
          <w:shd w:fill="FBFBFB" w:color="auto" w:val="clear"/>
        </w:rPr>
        <w:t>Risk</w:t>
      </w:r>
      <w:r>
        <w:rPr>
          <w:i/>
          <w:color w:val="000000"/>
          <w:spacing w:val="1"/>
          <w:sz w:val="24"/>
        </w:rPr>
        <w:t> </w:t>
      </w:r>
      <w:r>
        <w:rPr>
          <w:i/>
          <w:color w:val="000000"/>
          <w:sz w:val="24"/>
          <w:shd w:fill="FBFBFB" w:color="auto" w:val="clear"/>
        </w:rPr>
        <w:t>Science</w:t>
      </w:r>
      <w:r>
        <w:rPr>
          <w:i/>
          <w:color w:val="000000"/>
          <w:spacing w:val="-2"/>
          <w:sz w:val="24"/>
          <w:shd w:fill="FBFBFB" w:color="auto" w:val="clear"/>
        </w:rPr>
        <w:t> </w:t>
      </w:r>
      <w:r>
        <w:rPr>
          <w:color w:val="000000"/>
          <w:sz w:val="24"/>
          <w:shd w:fill="FBFBFB" w:color="auto" w:val="clear"/>
        </w:rPr>
        <w:t>4(4): 169–181.</w:t>
      </w:r>
    </w:p>
    <w:p>
      <w:pPr>
        <w:pStyle w:val="BodyText"/>
        <w:spacing w:line="276" w:lineRule="auto" w:before="200"/>
        <w:ind w:right="401"/>
      </w:pPr>
      <w:r>
        <w:rPr/>
        <w:t>Cho SY, Kang JM, Ha YE. (2016). MERS-CoV outbreak following a single patient exposure in</w:t>
      </w:r>
      <w:r>
        <w:rPr>
          <w:spacing w:val="-57"/>
        </w:rPr>
        <w:t> </w:t>
      </w:r>
      <w:r>
        <w:rPr/>
        <w:t>an</w:t>
      </w:r>
      <w:r>
        <w:rPr>
          <w:spacing w:val="-1"/>
        </w:rPr>
        <w:t> </w:t>
      </w:r>
      <w:r>
        <w:rPr/>
        <w:t>emergency</w:t>
      </w:r>
      <w:r>
        <w:rPr>
          <w:spacing w:val="-6"/>
        </w:rPr>
        <w:t> </w:t>
      </w:r>
      <w:r>
        <w:rPr/>
        <w:t>room</w:t>
      </w:r>
      <w:r>
        <w:rPr>
          <w:spacing w:val="-1"/>
        </w:rPr>
        <w:t> </w:t>
      </w:r>
      <w:r>
        <w:rPr/>
        <w:t>in South</w:t>
      </w:r>
      <w:r>
        <w:rPr>
          <w:spacing w:val="-1"/>
        </w:rPr>
        <w:t> </w:t>
      </w:r>
      <w:r>
        <w:rPr/>
        <w:t>Korea:</w:t>
      </w:r>
      <w:r>
        <w:rPr>
          <w:spacing w:val="-1"/>
        </w:rPr>
        <w:t> </w:t>
      </w:r>
      <w:r>
        <w:rPr/>
        <w:t>an epidemiological outbreak</w:t>
      </w:r>
      <w:r>
        <w:rPr>
          <w:spacing w:val="-1"/>
        </w:rPr>
        <w:t> </w:t>
      </w:r>
      <w:r>
        <w:rPr/>
        <w:t>study.</w:t>
      </w:r>
      <w:r>
        <w:rPr>
          <w:spacing w:val="2"/>
        </w:rPr>
        <w:t> </w:t>
      </w:r>
      <w:r>
        <w:rPr>
          <w:i/>
        </w:rPr>
        <w:t>Lancet</w:t>
      </w:r>
      <w:r>
        <w:rPr/>
        <w:t>; 388:994–1001.</w:t>
      </w:r>
    </w:p>
    <w:p>
      <w:pPr>
        <w:pStyle w:val="BodyText"/>
        <w:spacing w:before="9"/>
        <w:ind w:left="0"/>
        <w:rPr>
          <w:sz w:val="20"/>
        </w:rPr>
      </w:pPr>
    </w:p>
    <w:p>
      <w:pPr>
        <w:pStyle w:val="BodyText"/>
        <w:spacing w:line="278" w:lineRule="auto"/>
        <w:ind w:right="1125"/>
        <w:jc w:val="both"/>
      </w:pPr>
      <w:r>
        <w:rPr/>
        <w:t>Christen, P., &amp;</w:t>
      </w:r>
      <w:r>
        <w:rPr>
          <w:spacing w:val="-2"/>
        </w:rPr>
        <w:t> </w:t>
      </w:r>
      <w:r>
        <w:rPr/>
        <w:t>Goiser, K. (2007). Quality</w:t>
      </w:r>
      <w:r>
        <w:rPr>
          <w:spacing w:val="-5"/>
        </w:rPr>
        <w:t> </w:t>
      </w:r>
      <w:r>
        <w:rPr/>
        <w:t>and</w:t>
      </w:r>
      <w:r>
        <w:rPr>
          <w:spacing w:val="1"/>
        </w:rPr>
        <w:t> </w:t>
      </w:r>
      <w:r>
        <w:rPr/>
        <w:t>complexity</w:t>
      </w:r>
      <w:r>
        <w:rPr>
          <w:spacing w:val="-8"/>
        </w:rPr>
        <w:t> </w:t>
      </w:r>
      <w:r>
        <w:rPr/>
        <w:t>measures for</w:t>
      </w:r>
      <w:r>
        <w:rPr>
          <w:spacing w:val="-2"/>
        </w:rPr>
        <w:t> </w:t>
      </w:r>
      <w:r>
        <w:rPr/>
        <w:t>data linkage</w:t>
      </w:r>
      <w:r>
        <w:rPr>
          <w:spacing w:val="-2"/>
        </w:rPr>
        <w:t> </w:t>
      </w:r>
      <w:r>
        <w:rPr/>
        <w:t>and</w:t>
      </w:r>
      <w:r>
        <w:rPr>
          <w:spacing w:val="-57"/>
        </w:rPr>
        <w:t> </w:t>
      </w:r>
      <w:r>
        <w:rPr/>
        <w:t>deduplication.</w:t>
      </w:r>
      <w:r>
        <w:rPr>
          <w:spacing w:val="-1"/>
        </w:rPr>
        <w:t> </w:t>
      </w:r>
      <w:r>
        <w:rPr/>
        <w:t>Springer,</w:t>
      </w:r>
      <w:r>
        <w:rPr>
          <w:spacing w:val="1"/>
        </w:rPr>
        <w:t> </w:t>
      </w:r>
      <w:r>
        <w:rPr/>
        <w:t>10.1007/978-3-540-44918-8_6.</w:t>
      </w:r>
    </w:p>
    <w:p>
      <w:pPr>
        <w:pStyle w:val="BodyText"/>
        <w:spacing w:line="355" w:lineRule="auto" w:before="54"/>
        <w:ind w:right="523"/>
        <w:jc w:val="both"/>
      </w:pPr>
      <w:r>
        <w:rPr/>
        <w:t>Confalonieri, U., et al. (2009). </w:t>
      </w:r>
      <w:r>
        <w:rPr>
          <w:color w:val="221F1F"/>
        </w:rPr>
        <w:t>Public health vulnerability to climate change in Brazil. Climate</w:t>
      </w:r>
      <w:r>
        <w:rPr>
          <w:color w:val="221F1F"/>
          <w:spacing w:val="-57"/>
        </w:rPr>
        <w:t> </w:t>
      </w:r>
      <w:r>
        <w:rPr>
          <w:color w:val="221F1F"/>
        </w:rPr>
        <w:t>Research</w:t>
      </w:r>
      <w:r>
        <w:rPr>
          <w:color w:val="221F1F"/>
          <w:spacing w:val="-2"/>
        </w:rPr>
        <w:t> </w:t>
      </w:r>
      <w:r>
        <w:rPr>
          <w:color w:val="221F1F"/>
        </w:rPr>
        <w:t>Special</w:t>
      </w:r>
      <w:r>
        <w:rPr>
          <w:color w:val="221F1F"/>
          <w:spacing w:val="-2"/>
        </w:rPr>
        <w:t> </w:t>
      </w:r>
      <w:r>
        <w:rPr>
          <w:color w:val="221F1F"/>
        </w:rPr>
        <w:t>20</w:t>
      </w:r>
      <w:r>
        <w:rPr>
          <w:color w:val="221F1F"/>
          <w:spacing w:val="-1"/>
        </w:rPr>
        <w:t> </w:t>
      </w:r>
      <w:r>
        <w:rPr>
          <w:color w:val="221F1F"/>
        </w:rPr>
        <w:t>‘Integrating</w:t>
      </w:r>
      <w:r>
        <w:rPr>
          <w:color w:val="221F1F"/>
          <w:spacing w:val="-5"/>
        </w:rPr>
        <w:t> </w:t>
      </w:r>
      <w:r>
        <w:rPr>
          <w:color w:val="221F1F"/>
        </w:rPr>
        <w:t>analysis</w:t>
      </w:r>
      <w:r>
        <w:rPr>
          <w:color w:val="221F1F"/>
          <w:spacing w:val="-1"/>
        </w:rPr>
        <w:t> </w:t>
      </w:r>
      <w:r>
        <w:rPr>
          <w:color w:val="221F1F"/>
        </w:rPr>
        <w:t>of</w:t>
      </w:r>
      <w:r>
        <w:rPr>
          <w:color w:val="221F1F"/>
          <w:spacing w:val="-2"/>
        </w:rPr>
        <w:t> </w:t>
      </w:r>
      <w:r>
        <w:rPr>
          <w:color w:val="221F1F"/>
        </w:rPr>
        <w:t>regional</w:t>
      </w:r>
      <w:r>
        <w:rPr>
          <w:color w:val="221F1F"/>
          <w:spacing w:val="-1"/>
        </w:rPr>
        <w:t> </w:t>
      </w:r>
      <w:r>
        <w:rPr>
          <w:color w:val="221F1F"/>
        </w:rPr>
        <w:t>climate</w:t>
      </w:r>
      <w:r>
        <w:rPr>
          <w:color w:val="221F1F"/>
          <w:spacing w:val="-2"/>
        </w:rPr>
        <w:t> </w:t>
      </w:r>
      <w:r>
        <w:rPr>
          <w:color w:val="221F1F"/>
        </w:rPr>
        <w:t>change</w:t>
      </w:r>
      <w:r>
        <w:rPr>
          <w:color w:val="221F1F"/>
          <w:spacing w:val="-2"/>
        </w:rPr>
        <w:t> </w:t>
      </w:r>
      <w:r>
        <w:rPr>
          <w:color w:val="221F1F"/>
        </w:rPr>
        <w:t>and</w:t>
      </w:r>
      <w:r>
        <w:rPr>
          <w:color w:val="221F1F"/>
          <w:spacing w:val="-2"/>
        </w:rPr>
        <w:t> </w:t>
      </w:r>
      <w:r>
        <w:rPr>
          <w:color w:val="221F1F"/>
        </w:rPr>
        <w:t>response</w:t>
      </w:r>
      <w:r>
        <w:rPr>
          <w:color w:val="221F1F"/>
          <w:spacing w:val="-2"/>
        </w:rPr>
        <w:t> </w:t>
      </w:r>
      <w:r>
        <w:rPr>
          <w:color w:val="221F1F"/>
        </w:rPr>
        <w:t>options’,</w:t>
      </w:r>
      <w:r>
        <w:rPr>
          <w:color w:val="221F1F"/>
          <w:spacing w:val="-2"/>
        </w:rPr>
        <w:t> </w:t>
      </w:r>
      <w:r>
        <w:rPr>
          <w:color w:val="221F1F"/>
        </w:rPr>
        <w:t>40</w:t>
      </w:r>
      <w:r>
        <w:rPr>
          <w:color w:val="221F1F"/>
          <w:spacing w:val="-57"/>
        </w:rPr>
        <w:t> </w:t>
      </w:r>
      <w:r>
        <w:rPr>
          <w:color w:val="221F1F"/>
        </w:rPr>
        <w:t>(1),</w:t>
      </w:r>
      <w:r>
        <w:rPr>
          <w:color w:val="221F1F"/>
          <w:spacing w:val="-1"/>
        </w:rPr>
        <w:t> </w:t>
      </w:r>
      <w:r>
        <w:rPr>
          <w:color w:val="221F1F"/>
        </w:rPr>
        <w:t>175–186.</w:t>
      </w:r>
    </w:p>
    <w:p>
      <w:pPr>
        <w:pStyle w:val="BodyText"/>
        <w:spacing w:line="276" w:lineRule="auto" w:before="198"/>
        <w:ind w:right="481"/>
      </w:pPr>
      <w:r>
        <w:rPr/>
        <w:t>Confalonieri,</w:t>
      </w:r>
      <w:r>
        <w:rPr>
          <w:spacing w:val="-1"/>
        </w:rPr>
        <w:t> </w:t>
      </w:r>
      <w:r>
        <w:rPr/>
        <w:t>U.,</w:t>
      </w:r>
      <w:r>
        <w:rPr>
          <w:spacing w:val="-1"/>
        </w:rPr>
        <w:t> </w:t>
      </w:r>
      <w:r>
        <w:rPr/>
        <w:t>B.</w:t>
      </w:r>
      <w:r>
        <w:rPr>
          <w:spacing w:val="-2"/>
        </w:rPr>
        <w:t> </w:t>
      </w:r>
      <w:r>
        <w:rPr/>
        <w:t>Menne,</w:t>
      </w:r>
      <w:r>
        <w:rPr>
          <w:spacing w:val="-1"/>
        </w:rPr>
        <w:t> </w:t>
      </w:r>
      <w:r>
        <w:rPr/>
        <w:t>R.</w:t>
      </w:r>
      <w:r>
        <w:rPr>
          <w:spacing w:val="-1"/>
        </w:rPr>
        <w:t> </w:t>
      </w:r>
      <w:r>
        <w:rPr/>
        <w:t>Akhtar,</w:t>
      </w:r>
      <w:r>
        <w:rPr>
          <w:spacing w:val="-1"/>
        </w:rPr>
        <w:t> </w:t>
      </w:r>
      <w:r>
        <w:rPr/>
        <w:t>K.L.</w:t>
      </w:r>
      <w:r>
        <w:rPr>
          <w:spacing w:val="-1"/>
        </w:rPr>
        <w:t> </w:t>
      </w:r>
      <w:r>
        <w:rPr/>
        <w:t>Ebi,</w:t>
      </w:r>
      <w:r>
        <w:rPr>
          <w:spacing w:val="1"/>
        </w:rPr>
        <w:t> </w:t>
      </w:r>
      <w:r>
        <w:rPr/>
        <w:t>M.</w:t>
      </w:r>
      <w:r>
        <w:rPr>
          <w:spacing w:val="-1"/>
        </w:rPr>
        <w:t> </w:t>
      </w:r>
      <w:r>
        <w:rPr/>
        <w:t>Hauengue,</w:t>
      </w:r>
      <w:r>
        <w:rPr>
          <w:spacing w:val="-1"/>
        </w:rPr>
        <w:t> </w:t>
      </w:r>
      <w:r>
        <w:rPr/>
        <w:t>R.S.</w:t>
      </w:r>
      <w:r>
        <w:rPr>
          <w:spacing w:val="-1"/>
        </w:rPr>
        <w:t> </w:t>
      </w:r>
      <w:r>
        <w:rPr/>
        <w:t>Kovats,</w:t>
      </w:r>
      <w:r>
        <w:rPr>
          <w:spacing w:val="-1"/>
        </w:rPr>
        <w:t> </w:t>
      </w:r>
      <w:r>
        <w:rPr/>
        <w:t>B.</w:t>
      </w:r>
      <w:r>
        <w:rPr>
          <w:spacing w:val="-1"/>
        </w:rPr>
        <w:t> </w:t>
      </w:r>
      <w:r>
        <w:rPr/>
        <w:t>Revich</w:t>
      </w:r>
      <w:r>
        <w:rPr>
          <w:spacing w:val="-1"/>
        </w:rPr>
        <w:t> </w:t>
      </w:r>
      <w:r>
        <w:rPr/>
        <w:t>and</w:t>
      </w:r>
      <w:r>
        <w:rPr>
          <w:spacing w:val="-1"/>
        </w:rPr>
        <w:t> </w:t>
      </w:r>
      <w:r>
        <w:rPr/>
        <w:t>A.</w:t>
      </w:r>
      <w:r>
        <w:rPr>
          <w:spacing w:val="-57"/>
        </w:rPr>
        <w:t> </w:t>
      </w:r>
      <w:r>
        <w:rPr/>
        <w:t>Woodward. (2007). Human health. Climate Change 2007: Impacts, Adaptation and</w:t>
      </w:r>
      <w:r>
        <w:rPr>
          <w:spacing w:val="1"/>
        </w:rPr>
        <w:t> </w:t>
      </w:r>
      <w:r>
        <w:rPr/>
        <w:t>Vulnerability. Contribution of Working Group II to the Fourth Assessment Report of the</w:t>
      </w:r>
      <w:r>
        <w:rPr>
          <w:spacing w:val="1"/>
        </w:rPr>
        <w:t> </w:t>
      </w:r>
      <w:r>
        <w:rPr/>
        <w:t>Intergovern Panel on Climate Change, M.L. Parry, O.F. Canziani, J.P. Palutikof, P.J. van der</w:t>
      </w:r>
      <w:r>
        <w:rPr>
          <w:spacing w:val="1"/>
        </w:rPr>
        <w:t> </w:t>
      </w:r>
      <w:r>
        <w:rPr/>
        <w:t>Linden and C.E. Hanson,</w:t>
      </w:r>
      <w:r>
        <w:rPr>
          <w:spacing w:val="1"/>
        </w:rPr>
        <w:t> </w:t>
      </w:r>
      <w:r>
        <w:rPr/>
        <w:t>Eds., Cambridge</w:t>
      </w:r>
      <w:r>
        <w:rPr>
          <w:spacing w:val="1"/>
        </w:rPr>
        <w:t> </w:t>
      </w:r>
      <w:r>
        <w:rPr/>
        <w:t>University</w:t>
      </w:r>
      <w:r>
        <w:rPr>
          <w:spacing w:val="-9"/>
        </w:rPr>
        <w:t> </w:t>
      </w:r>
      <w:r>
        <w:rPr/>
        <w:t>Press, Cambridge, UK,</w:t>
      </w:r>
      <w:r>
        <w:rPr>
          <w:spacing w:val="-1"/>
        </w:rPr>
        <w:t> </w:t>
      </w:r>
      <w:r>
        <w:rPr/>
        <w:t>391-431.</w:t>
      </w:r>
    </w:p>
    <w:p>
      <w:pPr>
        <w:pStyle w:val="BodyText"/>
        <w:spacing w:line="276" w:lineRule="auto" w:before="201"/>
        <w:ind w:right="276"/>
      </w:pPr>
      <w:r>
        <w:rPr/>
        <w:t>Costello, A. et al. (2009). Managing the health effects of climate change. The Lancet, 373(9676),</w:t>
      </w:r>
      <w:r>
        <w:rPr>
          <w:spacing w:val="-57"/>
        </w:rPr>
        <w:t> </w:t>
      </w:r>
      <w:r>
        <w:rPr/>
        <w:t>1693–1733.</w:t>
      </w:r>
    </w:p>
    <w:p>
      <w:pPr>
        <w:pStyle w:val="BodyText"/>
        <w:spacing w:line="276" w:lineRule="auto" w:before="201"/>
        <w:ind w:right="262"/>
      </w:pPr>
      <w:r>
        <w:rPr/>
        <w:t>Cutter,</w:t>
      </w:r>
      <w:r>
        <w:rPr>
          <w:spacing w:val="-1"/>
        </w:rPr>
        <w:t> </w:t>
      </w:r>
      <w:r>
        <w:rPr/>
        <w:t>S.</w:t>
      </w:r>
      <w:r>
        <w:rPr>
          <w:spacing w:val="1"/>
        </w:rPr>
        <w:t> </w:t>
      </w:r>
      <w:r>
        <w:rPr/>
        <w:t>L., Mitchell,</w:t>
      </w:r>
      <w:r>
        <w:rPr>
          <w:spacing w:val="-1"/>
        </w:rPr>
        <w:t> </w:t>
      </w:r>
      <w:r>
        <w:rPr/>
        <w:t>J.</w:t>
      </w:r>
      <w:r>
        <w:rPr>
          <w:spacing w:val="-3"/>
        </w:rPr>
        <w:t> </w:t>
      </w:r>
      <w:r>
        <w:rPr/>
        <w:t>T.</w:t>
      </w:r>
      <w:r>
        <w:rPr>
          <w:spacing w:val="-1"/>
        </w:rPr>
        <w:t> </w:t>
      </w:r>
      <w:r>
        <w:rPr/>
        <w:t>and</w:t>
      </w:r>
      <w:r>
        <w:rPr>
          <w:spacing w:val="-1"/>
        </w:rPr>
        <w:t> </w:t>
      </w:r>
      <w:r>
        <w:rPr/>
        <w:t>Scott, M.</w:t>
      </w:r>
      <w:r>
        <w:rPr>
          <w:spacing w:val="-1"/>
        </w:rPr>
        <w:t> </w:t>
      </w:r>
      <w:r>
        <w:rPr/>
        <w:t>S. (2000)</w:t>
      </w:r>
      <w:r>
        <w:rPr>
          <w:spacing w:val="-2"/>
        </w:rPr>
        <w:t> </w:t>
      </w:r>
      <w:r>
        <w:rPr/>
        <w:t>Revealing</w:t>
      </w:r>
      <w:r>
        <w:rPr>
          <w:spacing w:val="-4"/>
        </w:rPr>
        <w:t> </w:t>
      </w:r>
      <w:r>
        <w:rPr/>
        <w:t>the vulnerability</w:t>
      </w:r>
      <w:r>
        <w:rPr>
          <w:spacing w:val="-9"/>
        </w:rPr>
        <w:t> </w:t>
      </w:r>
      <w:r>
        <w:rPr/>
        <w:t>of places:</w:t>
      </w:r>
      <w:r>
        <w:rPr>
          <w:spacing w:val="-1"/>
        </w:rPr>
        <w:t> </w:t>
      </w:r>
      <w:r>
        <w:rPr/>
        <w:t>a</w:t>
      </w:r>
      <w:r>
        <w:rPr>
          <w:spacing w:val="-1"/>
        </w:rPr>
        <w:t> </w:t>
      </w:r>
      <w:r>
        <w:rPr/>
        <w:t>case</w:t>
      </w:r>
      <w:r>
        <w:rPr>
          <w:spacing w:val="-57"/>
        </w:rPr>
        <w:t> </w:t>
      </w:r>
      <w:r>
        <w:rPr/>
        <w:t>study of Georgetown County, South Carolina. Annals of the Association of American</w:t>
      </w:r>
      <w:r>
        <w:rPr>
          <w:spacing w:val="1"/>
        </w:rPr>
        <w:t> </w:t>
      </w:r>
      <w:r>
        <w:rPr/>
        <w:t>Geographers</w:t>
      </w:r>
      <w:r>
        <w:rPr>
          <w:spacing w:val="-1"/>
        </w:rPr>
        <w:t> </w:t>
      </w:r>
      <w:r>
        <w:rPr/>
        <w:t>90(4): 713–737.</w:t>
      </w:r>
    </w:p>
    <w:p>
      <w:pPr>
        <w:pStyle w:val="BodyText"/>
        <w:spacing w:line="276" w:lineRule="auto" w:before="200"/>
        <w:ind w:right="280"/>
      </w:pPr>
      <w:r>
        <w:rPr>
          <w:color w:val="000000"/>
          <w:shd w:fill="FBFBFB" w:color="auto" w:val="clear"/>
        </w:rPr>
        <w:t>Cutter,</w:t>
      </w:r>
      <w:r>
        <w:rPr>
          <w:color w:val="000000"/>
          <w:spacing w:val="-2"/>
          <w:shd w:fill="FBFBFB" w:color="auto" w:val="clear"/>
        </w:rPr>
        <w:t> </w:t>
      </w:r>
      <w:r>
        <w:rPr>
          <w:color w:val="000000"/>
          <w:shd w:fill="FBFBFB" w:color="auto" w:val="clear"/>
        </w:rPr>
        <w:t>S.L.,</w:t>
      </w:r>
      <w:r>
        <w:rPr>
          <w:color w:val="000000"/>
          <w:spacing w:val="-1"/>
          <w:shd w:fill="FBFBFB" w:color="auto" w:val="clear"/>
        </w:rPr>
        <w:t> </w:t>
      </w:r>
      <w:r>
        <w:rPr>
          <w:color w:val="000000"/>
          <w:shd w:fill="FBFBFB" w:color="auto" w:val="clear"/>
        </w:rPr>
        <w:t>and</w:t>
      </w:r>
      <w:r>
        <w:rPr>
          <w:color w:val="000000"/>
          <w:spacing w:val="1"/>
          <w:shd w:fill="FBFBFB" w:color="auto" w:val="clear"/>
        </w:rPr>
        <w:t> </w:t>
      </w:r>
      <w:r>
        <w:rPr>
          <w:color w:val="000000"/>
          <w:shd w:fill="FBFBFB" w:color="auto" w:val="clear"/>
        </w:rPr>
        <w:t>Finch, C.</w:t>
      </w:r>
      <w:r>
        <w:rPr>
          <w:color w:val="000000"/>
          <w:spacing w:val="-1"/>
          <w:shd w:fill="FBFBFB" w:color="auto" w:val="clear"/>
        </w:rPr>
        <w:t> </w:t>
      </w:r>
      <w:r>
        <w:rPr>
          <w:color w:val="000000"/>
          <w:shd w:fill="FBFBFB" w:color="auto" w:val="clear"/>
        </w:rPr>
        <w:t>(2008).</w:t>
      </w:r>
      <w:r>
        <w:rPr>
          <w:color w:val="000000"/>
          <w:spacing w:val="-1"/>
          <w:shd w:fill="FBFBFB" w:color="auto" w:val="clear"/>
        </w:rPr>
        <w:t> </w:t>
      </w:r>
      <w:r>
        <w:rPr>
          <w:color w:val="000000"/>
          <w:shd w:fill="FBFBFB" w:color="auto" w:val="clear"/>
        </w:rPr>
        <w:t>Temporal</w:t>
      </w:r>
      <w:r>
        <w:rPr>
          <w:color w:val="000000"/>
          <w:spacing w:val="-2"/>
          <w:shd w:fill="FBFBFB" w:color="auto" w:val="clear"/>
        </w:rPr>
        <w:t> </w:t>
      </w:r>
      <w:r>
        <w:rPr>
          <w:color w:val="000000"/>
          <w:shd w:fill="FBFBFB" w:color="auto" w:val="clear"/>
        </w:rPr>
        <w:t>and spatial</w:t>
      </w:r>
      <w:r>
        <w:rPr>
          <w:color w:val="000000"/>
          <w:spacing w:val="-2"/>
          <w:shd w:fill="FBFBFB" w:color="auto" w:val="clear"/>
        </w:rPr>
        <w:t> </w:t>
      </w:r>
      <w:r>
        <w:rPr>
          <w:color w:val="000000"/>
          <w:shd w:fill="FBFBFB" w:color="auto" w:val="clear"/>
        </w:rPr>
        <w:t>changes</w:t>
      </w:r>
      <w:r>
        <w:rPr>
          <w:color w:val="000000"/>
          <w:spacing w:val="-1"/>
          <w:shd w:fill="FBFBFB" w:color="auto" w:val="clear"/>
        </w:rPr>
        <w:t> </w:t>
      </w:r>
      <w:r>
        <w:rPr>
          <w:color w:val="000000"/>
          <w:shd w:fill="FBFBFB" w:color="auto" w:val="clear"/>
        </w:rPr>
        <w:t>in</w:t>
      </w:r>
      <w:r>
        <w:rPr>
          <w:color w:val="000000"/>
          <w:spacing w:val="-2"/>
          <w:shd w:fill="FBFBFB" w:color="auto" w:val="clear"/>
        </w:rPr>
        <w:t> </w:t>
      </w:r>
      <w:r>
        <w:rPr>
          <w:color w:val="000000"/>
          <w:shd w:fill="FBFBFB" w:color="auto" w:val="clear"/>
        </w:rPr>
        <w:t>social</w:t>
      </w:r>
      <w:r>
        <w:rPr>
          <w:color w:val="000000"/>
          <w:spacing w:val="1"/>
          <w:shd w:fill="FBFBFB" w:color="auto" w:val="clear"/>
        </w:rPr>
        <w:t> </w:t>
      </w:r>
      <w:r>
        <w:rPr>
          <w:color w:val="000000"/>
          <w:shd w:fill="FBFBFB" w:color="auto" w:val="clear"/>
        </w:rPr>
        <w:t>vulnerability</w:t>
      </w:r>
      <w:r>
        <w:rPr>
          <w:color w:val="000000"/>
          <w:spacing w:val="-7"/>
          <w:shd w:fill="FBFBFB" w:color="auto" w:val="clear"/>
        </w:rPr>
        <w:t> </w:t>
      </w:r>
      <w:r>
        <w:rPr>
          <w:color w:val="000000"/>
          <w:shd w:fill="FBFBFB" w:color="auto" w:val="clear"/>
        </w:rPr>
        <w:t>to</w:t>
      </w:r>
      <w:r>
        <w:rPr>
          <w:color w:val="000000"/>
          <w:spacing w:val="-1"/>
          <w:shd w:fill="FBFBFB" w:color="auto" w:val="clear"/>
        </w:rPr>
        <w:t> </w:t>
      </w:r>
      <w:r>
        <w:rPr>
          <w:color w:val="000000"/>
          <w:shd w:fill="FBFBFB" w:color="auto" w:val="clear"/>
        </w:rPr>
        <w:t>natural</w:t>
      </w:r>
      <w:r>
        <w:rPr>
          <w:color w:val="000000"/>
          <w:spacing w:val="-57"/>
        </w:rPr>
        <w:t> </w:t>
      </w:r>
      <w:r>
        <w:rPr>
          <w:color w:val="000000"/>
          <w:shd w:fill="FBFBFB" w:color="auto" w:val="clear"/>
        </w:rPr>
        <w:t>hazards.</w:t>
      </w:r>
      <w:r>
        <w:rPr>
          <w:color w:val="000000"/>
          <w:spacing w:val="-2"/>
          <w:shd w:fill="FBFBFB" w:color="auto" w:val="clear"/>
        </w:rPr>
        <w:t> </w:t>
      </w:r>
      <w:r>
        <w:rPr>
          <w:color w:val="000000"/>
          <w:shd w:fill="FBFBFB" w:color="auto" w:val="clear"/>
        </w:rPr>
        <w:t>Proceedings of the</w:t>
      </w:r>
      <w:r>
        <w:rPr>
          <w:color w:val="000000"/>
          <w:spacing w:val="-2"/>
          <w:shd w:fill="FBFBFB" w:color="auto" w:val="clear"/>
        </w:rPr>
        <w:t> </w:t>
      </w:r>
      <w:r>
        <w:rPr>
          <w:color w:val="000000"/>
          <w:shd w:fill="FBFBFB" w:color="auto" w:val="clear"/>
        </w:rPr>
        <w:t>National Academy</w:t>
      </w:r>
      <w:r>
        <w:rPr>
          <w:color w:val="000000"/>
          <w:spacing w:val="-5"/>
          <w:shd w:fill="FBFBFB" w:color="auto" w:val="clear"/>
        </w:rPr>
        <w:t> </w:t>
      </w:r>
      <w:r>
        <w:rPr>
          <w:color w:val="000000"/>
          <w:shd w:fill="FBFBFB" w:color="auto" w:val="clear"/>
        </w:rPr>
        <w:t>of Sciences</w:t>
      </w:r>
      <w:r>
        <w:rPr>
          <w:color w:val="000000"/>
          <w:spacing w:val="3"/>
          <w:shd w:fill="FBFBFB" w:color="auto" w:val="clear"/>
        </w:rPr>
        <w:t> </w:t>
      </w:r>
      <w:r>
        <w:rPr>
          <w:color w:val="000000"/>
          <w:shd w:fill="FBFBFB" w:color="auto" w:val="clear"/>
        </w:rPr>
        <w:t>105(7): 2301–2306.</w:t>
      </w:r>
    </w:p>
    <w:p>
      <w:pPr>
        <w:pStyle w:val="BodyText"/>
        <w:spacing w:line="278" w:lineRule="auto" w:before="198"/>
        <w:ind w:right="440"/>
      </w:pPr>
      <w:r>
        <w:rPr/>
        <w:t>Dentener, F., Keating, T., Akimoto, H.(2010). Air Pollution Studies No. 17, 1014-4625, United</w:t>
      </w:r>
      <w:r>
        <w:rPr>
          <w:spacing w:val="-57"/>
        </w:rPr>
        <w:t> </w:t>
      </w:r>
      <w:r>
        <w:rPr/>
        <w:t>Nations</w:t>
      </w:r>
      <w:r>
        <w:rPr>
          <w:spacing w:val="-1"/>
        </w:rPr>
        <w:t> </w:t>
      </w:r>
      <w:r>
        <w:rPr/>
        <w:t>Publication, Geneva.</w:t>
      </w:r>
    </w:p>
    <w:p>
      <w:pPr>
        <w:pStyle w:val="BodyText"/>
        <w:spacing w:line="276" w:lineRule="auto" w:before="195"/>
        <w:ind w:right="519"/>
      </w:pPr>
      <w:r>
        <w:rPr/>
        <w:t>Ebi, KL., Hess, JJ., &amp; Watkiss, P. (2017). Health Risks and Costs of Climate Variability and</w:t>
      </w:r>
      <w:r>
        <w:rPr>
          <w:spacing w:val="1"/>
        </w:rPr>
        <w:t> </w:t>
      </w:r>
      <w:r>
        <w:rPr/>
        <w:t>Change.</w:t>
      </w:r>
      <w:r>
        <w:rPr>
          <w:spacing w:val="2"/>
        </w:rPr>
        <w:t> </w:t>
      </w:r>
      <w:r>
        <w:rPr/>
        <w:t>In:</w:t>
      </w:r>
      <w:r>
        <w:rPr>
          <w:spacing w:val="-1"/>
        </w:rPr>
        <w:t> </w:t>
      </w:r>
      <w:r>
        <w:rPr/>
        <w:t>Mock</w:t>
      </w:r>
      <w:r>
        <w:rPr>
          <w:spacing w:val="-2"/>
        </w:rPr>
        <w:t> </w:t>
      </w:r>
      <w:r>
        <w:rPr/>
        <w:t>CN,</w:t>
      </w:r>
      <w:r>
        <w:rPr>
          <w:spacing w:val="-1"/>
        </w:rPr>
        <w:t> </w:t>
      </w:r>
      <w:r>
        <w:rPr/>
        <w:t>Nugent</w:t>
      </w:r>
      <w:r>
        <w:rPr>
          <w:spacing w:val="-1"/>
        </w:rPr>
        <w:t> </w:t>
      </w:r>
      <w:r>
        <w:rPr/>
        <w:t>R,</w:t>
      </w:r>
      <w:r>
        <w:rPr>
          <w:spacing w:val="-2"/>
        </w:rPr>
        <w:t> </w:t>
      </w:r>
      <w:r>
        <w:rPr/>
        <w:t>Kobusingye</w:t>
      </w:r>
      <w:r>
        <w:rPr>
          <w:spacing w:val="-2"/>
        </w:rPr>
        <w:t> </w:t>
      </w:r>
      <w:r>
        <w:rPr/>
        <w:t>O, et</w:t>
      </w:r>
      <w:r>
        <w:rPr>
          <w:spacing w:val="-2"/>
        </w:rPr>
        <w:t> </w:t>
      </w:r>
      <w:r>
        <w:rPr/>
        <w:t>al.,</w:t>
      </w:r>
      <w:r>
        <w:rPr>
          <w:spacing w:val="-1"/>
        </w:rPr>
        <w:t> </w:t>
      </w:r>
      <w:r>
        <w:rPr/>
        <w:t>editors.</w:t>
      </w:r>
      <w:r>
        <w:rPr>
          <w:spacing w:val="1"/>
        </w:rPr>
        <w:t> </w:t>
      </w:r>
      <w:r>
        <w:rPr/>
        <w:t>Injury</w:t>
      </w:r>
      <w:r>
        <w:rPr>
          <w:spacing w:val="-7"/>
        </w:rPr>
        <w:t> </w:t>
      </w:r>
      <w:r>
        <w:rPr/>
        <w:t>Prevention</w:t>
      </w:r>
      <w:r>
        <w:rPr>
          <w:spacing w:val="-1"/>
        </w:rPr>
        <w:t> </w:t>
      </w:r>
      <w:r>
        <w:rPr/>
        <w:t>and</w:t>
      </w:r>
      <w:r>
        <w:rPr>
          <w:spacing w:val="-1"/>
        </w:rPr>
        <w:t> </w:t>
      </w:r>
      <w:r>
        <w:rPr/>
        <w:t>Environ</w:t>
      </w:r>
      <w:r>
        <w:rPr>
          <w:spacing w:val="-57"/>
        </w:rPr>
        <w:t> </w:t>
      </w:r>
      <w:r>
        <w:rPr/>
        <w:t>Health. 3rd edition. Washington (DC): The International Bank for Reconstruction and</w:t>
      </w:r>
      <w:r>
        <w:rPr>
          <w:spacing w:val="1"/>
        </w:rPr>
        <w:t> </w:t>
      </w:r>
      <w:r>
        <w:rPr/>
        <w:t>Development / The World Bank. Available from:</w:t>
      </w:r>
      <w:r>
        <w:rPr>
          <w:spacing w:val="1"/>
        </w:rPr>
        <w:t> </w:t>
      </w:r>
      <w:r>
        <w:rPr/>
        <w:t>https:/</w:t>
      </w:r>
      <w:hyperlink r:id="rId13">
        <w:r>
          <w:rPr/>
          <w:t>/www.ncbi.nlm.nih.gov/books/NBK525226/</w:t>
        </w:r>
        <w:r>
          <w:rPr>
            <w:spacing w:val="1"/>
          </w:rPr>
          <w:t> </w:t>
        </w:r>
      </w:hyperlink>
      <w:r>
        <w:rPr/>
        <w:t>doi:</w:t>
      </w:r>
      <w:r>
        <w:rPr>
          <w:spacing w:val="-1"/>
        </w:rPr>
        <w:t> </w:t>
      </w:r>
      <w:r>
        <w:rPr/>
        <w:t>10.1596/978-1-4648-0522-6_ch8.</w:t>
      </w:r>
    </w:p>
    <w:p>
      <w:pPr>
        <w:pStyle w:val="BodyText"/>
        <w:spacing w:line="276" w:lineRule="auto" w:before="202"/>
        <w:ind w:right="760"/>
      </w:pPr>
      <w:r>
        <w:rPr/>
        <w:t>EPA.(</w:t>
      </w:r>
      <w:r>
        <w:rPr>
          <w:spacing w:val="-1"/>
        </w:rPr>
        <w:t> </w:t>
      </w:r>
      <w:r>
        <w:rPr/>
        <w:t>2021). Climate</w:t>
      </w:r>
      <w:r>
        <w:rPr>
          <w:spacing w:val="-1"/>
        </w:rPr>
        <w:t> </w:t>
      </w:r>
      <w:r>
        <w:rPr/>
        <w:t>Change</w:t>
      </w:r>
      <w:r>
        <w:rPr>
          <w:spacing w:val="-1"/>
        </w:rPr>
        <w:t> </w:t>
      </w:r>
      <w:r>
        <w:rPr/>
        <w:t>and Social</w:t>
      </w:r>
      <w:r>
        <w:rPr>
          <w:spacing w:val="-1"/>
        </w:rPr>
        <w:t> </w:t>
      </w:r>
      <w:r>
        <w:rPr/>
        <w:t>Vulnerability</w:t>
      </w:r>
      <w:r>
        <w:rPr>
          <w:spacing w:val="-8"/>
        </w:rPr>
        <w:t> </w:t>
      </w:r>
      <w:r>
        <w:rPr/>
        <w:t>in the</w:t>
      </w:r>
      <w:r>
        <w:rPr>
          <w:spacing w:val="1"/>
        </w:rPr>
        <w:t> </w:t>
      </w:r>
      <w:r>
        <w:rPr/>
        <w:t>United States:</w:t>
      </w:r>
      <w:r>
        <w:rPr>
          <w:spacing w:val="-1"/>
        </w:rPr>
        <w:t> </w:t>
      </w:r>
      <w:r>
        <w:rPr/>
        <w:t>A Focus on</w:t>
      </w:r>
      <w:r>
        <w:rPr>
          <w:spacing w:val="-1"/>
        </w:rPr>
        <w:t> </w:t>
      </w:r>
      <w:r>
        <w:rPr/>
        <w:t>Six</w:t>
      </w:r>
      <w:r>
        <w:rPr>
          <w:spacing w:val="-57"/>
        </w:rPr>
        <w:t> </w:t>
      </w:r>
      <w:r>
        <w:rPr/>
        <w:t>Impacts.</w:t>
      </w:r>
      <w:r>
        <w:rPr>
          <w:spacing w:val="-1"/>
        </w:rPr>
        <w:t> </w:t>
      </w:r>
      <w:r>
        <w:rPr/>
        <w:t>U.S. Environ Protection Agency, EPA 430-R-21-003.</w:t>
      </w:r>
    </w:p>
    <w:p>
      <w:pPr>
        <w:pStyle w:val="BodyText"/>
        <w:spacing w:line="276" w:lineRule="auto" w:before="200"/>
        <w:ind w:right="503"/>
      </w:pPr>
      <w:r>
        <w:rPr/>
        <w:t>Goldsmith, W. (2016). Resilient Communities through</w:t>
      </w:r>
      <w:r>
        <w:rPr>
          <w:spacing w:val="1"/>
        </w:rPr>
        <w:t> </w:t>
      </w:r>
      <w:r>
        <w:rPr/>
        <w:t>Environ Planning and Design:</w:t>
      </w:r>
      <w:r>
        <w:rPr>
          <w:spacing w:val="1"/>
        </w:rPr>
        <w:t> </w:t>
      </w:r>
      <w:r>
        <w:rPr/>
        <w:t>Accounting for Future Scenarios</w:t>
      </w:r>
      <w:r>
        <w:rPr>
          <w:spacing w:val="1"/>
        </w:rPr>
        <w:t> </w:t>
      </w:r>
      <w:r>
        <w:rPr/>
        <w:t>and Regenerative Capacity. Climate Health Risks in</w:t>
      </w:r>
      <w:r>
        <w:rPr>
          <w:spacing w:val="1"/>
        </w:rPr>
        <w:t> </w:t>
      </w:r>
      <w:r>
        <w:rPr/>
        <w:t>Megacities:</w:t>
      </w:r>
      <w:r>
        <w:rPr>
          <w:spacing w:val="-2"/>
        </w:rPr>
        <w:t> </w:t>
      </w:r>
      <w:r>
        <w:rPr/>
        <w:t>Sustainable</w:t>
      </w:r>
      <w:r>
        <w:rPr>
          <w:spacing w:val="-1"/>
        </w:rPr>
        <w:t> </w:t>
      </w:r>
      <w:r>
        <w:rPr/>
        <w:t>Management</w:t>
      </w:r>
      <w:r>
        <w:rPr>
          <w:spacing w:val="-2"/>
        </w:rPr>
        <w:t> </w:t>
      </w:r>
      <w:r>
        <w:rPr/>
        <w:t>and</w:t>
      </w:r>
      <w:r>
        <w:rPr>
          <w:spacing w:val="-1"/>
        </w:rPr>
        <w:t> </w:t>
      </w:r>
      <w:r>
        <w:rPr/>
        <w:t>Strategic</w:t>
      </w:r>
      <w:r>
        <w:rPr>
          <w:spacing w:val="-1"/>
        </w:rPr>
        <w:t> </w:t>
      </w:r>
      <w:r>
        <w:rPr/>
        <w:t>Planning.</w:t>
      </w:r>
      <w:r>
        <w:rPr>
          <w:spacing w:val="-2"/>
        </w:rPr>
        <w:t> </w:t>
      </w:r>
      <w:r>
        <w:rPr/>
        <w:t>Taylor</w:t>
      </w:r>
      <w:r>
        <w:rPr>
          <w:spacing w:val="-1"/>
        </w:rPr>
        <w:t> </w:t>
      </w:r>
      <w:r>
        <w:rPr/>
        <w:t>and</w:t>
      </w:r>
      <w:r>
        <w:rPr>
          <w:spacing w:val="-2"/>
        </w:rPr>
        <w:t> </w:t>
      </w:r>
      <w:r>
        <w:rPr/>
        <w:t>Francis</w:t>
      </w:r>
      <w:r>
        <w:rPr>
          <w:spacing w:val="-2"/>
        </w:rPr>
        <w:t> </w:t>
      </w:r>
      <w:r>
        <w:rPr/>
        <w:t>Group., Boca</w:t>
      </w:r>
      <w:r>
        <w:rPr>
          <w:spacing w:val="-57"/>
        </w:rPr>
        <w:t> </w:t>
      </w:r>
      <w:r>
        <w:rPr/>
        <w:t>Raton,</w:t>
      </w:r>
      <w:r>
        <w:rPr>
          <w:spacing w:val="-1"/>
        </w:rPr>
        <w:t> </w:t>
      </w:r>
      <w:r>
        <w:rPr/>
        <w:t>FL, 93-109.</w:t>
      </w:r>
    </w:p>
    <w:p>
      <w:pPr>
        <w:spacing w:after="0" w:line="276" w:lineRule="auto"/>
        <w:sectPr>
          <w:pgSz w:w="12240" w:h="15840"/>
          <w:pgMar w:top="1360" w:bottom="280" w:left="1220" w:right="1180"/>
        </w:sectPr>
      </w:pPr>
    </w:p>
    <w:p>
      <w:pPr>
        <w:pStyle w:val="BodyText"/>
        <w:spacing w:line="242" w:lineRule="auto" w:before="72"/>
        <w:ind w:right="557"/>
      </w:pPr>
      <w:r>
        <w:rPr/>
        <w:t>Government of India. Census of India (Provisional). Annexure 8—Statement 1: Ranking of</w:t>
      </w:r>
      <w:r>
        <w:rPr>
          <w:spacing w:val="1"/>
        </w:rPr>
        <w:t> </w:t>
      </w:r>
      <w:r>
        <w:rPr/>
        <w:t>Districts by Population Size, 2001 and 2011. Available online: </w:t>
      </w:r>
      <w:hyperlink r:id="rId14">
        <w:r>
          <w:rPr/>
          <w:t>http://censusindia.gov.in/2011-</w:t>
        </w:r>
      </w:hyperlink>
      <w:r>
        <w:rPr>
          <w:spacing w:val="-57"/>
        </w:rPr>
        <w:t> </w:t>
      </w:r>
      <w:hyperlink r:id="rId14">
        <w:r>
          <w:rPr/>
          <w:t>prov-results/prov_data_products_gujarat.html.</w:t>
        </w:r>
      </w:hyperlink>
    </w:p>
    <w:p>
      <w:pPr>
        <w:pStyle w:val="BodyText"/>
        <w:spacing w:line="276" w:lineRule="auto" w:before="160"/>
        <w:ind w:right="498"/>
      </w:pPr>
      <w:r>
        <w:rPr/>
        <w:t>Grineski, S.E., Flores, A.B., Collins, T.W. and Chakraborty, J. (2020), Hurricane Harvey and</w:t>
      </w:r>
      <w:r>
        <w:rPr>
          <w:spacing w:val="1"/>
        </w:rPr>
        <w:t> </w:t>
      </w:r>
      <w:r>
        <w:rPr/>
        <w:t>Greater</w:t>
      </w:r>
      <w:r>
        <w:rPr>
          <w:spacing w:val="-2"/>
        </w:rPr>
        <w:t> </w:t>
      </w:r>
      <w:r>
        <w:rPr/>
        <w:t>Houston</w:t>
      </w:r>
      <w:r>
        <w:rPr>
          <w:spacing w:val="-2"/>
        </w:rPr>
        <w:t> </w:t>
      </w:r>
      <w:r>
        <w:rPr/>
        <w:t>households:</w:t>
      </w:r>
      <w:r>
        <w:rPr>
          <w:spacing w:val="-1"/>
        </w:rPr>
        <w:t> </w:t>
      </w:r>
      <w:r>
        <w:rPr/>
        <w:t>comparing</w:t>
      </w:r>
      <w:r>
        <w:rPr>
          <w:spacing w:val="-4"/>
        </w:rPr>
        <w:t> </w:t>
      </w:r>
      <w:r>
        <w:rPr/>
        <w:t>pre-event preparedness</w:t>
      </w:r>
      <w:r>
        <w:rPr>
          <w:spacing w:val="-1"/>
        </w:rPr>
        <w:t> </w:t>
      </w:r>
      <w:r>
        <w:rPr/>
        <w:t>with</w:t>
      </w:r>
      <w:r>
        <w:rPr>
          <w:spacing w:val="-2"/>
        </w:rPr>
        <w:t> </w:t>
      </w:r>
      <w:r>
        <w:rPr/>
        <w:t>post-event</w:t>
      </w:r>
      <w:r>
        <w:rPr>
          <w:spacing w:val="-2"/>
        </w:rPr>
        <w:t> </w:t>
      </w:r>
      <w:r>
        <w:rPr/>
        <w:t>health</w:t>
      </w:r>
      <w:r>
        <w:rPr>
          <w:spacing w:val="-1"/>
        </w:rPr>
        <w:t> </w:t>
      </w:r>
      <w:r>
        <w:rPr/>
        <w:t>effects,</w:t>
      </w:r>
      <w:r>
        <w:rPr>
          <w:spacing w:val="-57"/>
        </w:rPr>
        <w:t> </w:t>
      </w:r>
      <w:r>
        <w:rPr/>
        <w:t>event</w:t>
      </w:r>
      <w:r>
        <w:rPr>
          <w:spacing w:val="-1"/>
        </w:rPr>
        <w:t> </w:t>
      </w:r>
      <w:r>
        <w:rPr/>
        <w:t>exposures,</w:t>
      </w:r>
      <w:r>
        <w:rPr>
          <w:spacing w:val="-1"/>
        </w:rPr>
        <w:t> </w:t>
      </w:r>
      <w:r>
        <w:rPr/>
        <w:t>and</w:t>
      </w:r>
      <w:r>
        <w:rPr>
          <w:spacing w:val="-1"/>
        </w:rPr>
        <w:t> </w:t>
      </w:r>
      <w:r>
        <w:rPr/>
        <w:t>recovery.</w:t>
      </w:r>
      <w:r>
        <w:rPr>
          <w:spacing w:val="-1"/>
        </w:rPr>
        <w:t> </w:t>
      </w:r>
      <w:r>
        <w:rPr/>
        <w:t>Disasters, 44:</w:t>
      </w:r>
      <w:r>
        <w:rPr>
          <w:spacing w:val="-1"/>
        </w:rPr>
        <w:t> </w:t>
      </w:r>
      <w:r>
        <w:rPr/>
        <w:t>408-432. </w:t>
      </w:r>
      <w:hyperlink r:id="rId15">
        <w:r>
          <w:rPr/>
          <w:t>https://doi.org/10.1111/disa.12368</w:t>
        </w:r>
      </w:hyperlink>
      <w:r>
        <w:rPr/>
        <w:t>.</w:t>
      </w:r>
    </w:p>
    <w:p>
      <w:pPr>
        <w:pStyle w:val="BodyText"/>
        <w:spacing w:line="276" w:lineRule="auto" w:before="200"/>
        <w:ind w:right="678"/>
      </w:pPr>
      <w:r>
        <w:rPr/>
        <w:t>Haider,</w:t>
      </w:r>
      <w:r>
        <w:rPr>
          <w:spacing w:val="-1"/>
        </w:rPr>
        <w:t> </w:t>
      </w:r>
      <w:r>
        <w:rPr/>
        <w:t>H. (2020).</w:t>
      </w:r>
      <w:r>
        <w:rPr>
          <w:spacing w:val="-1"/>
        </w:rPr>
        <w:t> </w:t>
      </w:r>
      <w:r>
        <w:rPr/>
        <w:t>The</w:t>
      </w:r>
      <w:r>
        <w:rPr>
          <w:spacing w:val="-2"/>
        </w:rPr>
        <w:t> </w:t>
      </w:r>
      <w:r>
        <w:rPr/>
        <w:t>bottom</w:t>
      </w:r>
      <w:r>
        <w:rPr>
          <w:spacing w:val="-1"/>
        </w:rPr>
        <w:t> </w:t>
      </w:r>
      <w:r>
        <w:rPr/>
        <w:t>billion</w:t>
      </w:r>
      <w:r>
        <w:rPr>
          <w:spacing w:val="-3"/>
        </w:rPr>
        <w:t> </w:t>
      </w:r>
      <w:r>
        <w:rPr/>
        <w:t>in</w:t>
      </w:r>
      <w:r>
        <w:rPr>
          <w:spacing w:val="1"/>
        </w:rPr>
        <w:t> </w:t>
      </w:r>
      <w:r>
        <w:rPr/>
        <w:t>Africa:</w:t>
      </w:r>
      <w:r>
        <w:rPr>
          <w:spacing w:val="-1"/>
        </w:rPr>
        <w:t> </w:t>
      </w:r>
      <w:r>
        <w:rPr/>
        <w:t>Poverty</w:t>
      </w:r>
      <w:r>
        <w:rPr>
          <w:spacing w:val="-6"/>
        </w:rPr>
        <w:t> </w:t>
      </w:r>
      <w:r>
        <w:rPr/>
        <w:t>trends</w:t>
      </w:r>
      <w:r>
        <w:rPr>
          <w:spacing w:val="-1"/>
        </w:rPr>
        <w:t> </w:t>
      </w:r>
      <w:r>
        <w:rPr/>
        <w:t>and</w:t>
      </w:r>
      <w:r>
        <w:rPr>
          <w:spacing w:val="1"/>
        </w:rPr>
        <w:t> </w:t>
      </w:r>
      <w:r>
        <w:rPr/>
        <w:t>forecasts.</w:t>
      </w:r>
      <w:r>
        <w:rPr>
          <w:spacing w:val="-1"/>
        </w:rPr>
        <w:t> </w:t>
      </w:r>
      <w:r>
        <w:rPr/>
        <w:t>K4D</w:t>
      </w:r>
      <w:r>
        <w:rPr>
          <w:spacing w:val="-1"/>
        </w:rPr>
        <w:t> </w:t>
      </w:r>
      <w:r>
        <w:rPr/>
        <w:t>Helpdesk</w:t>
      </w:r>
      <w:r>
        <w:rPr>
          <w:spacing w:val="-57"/>
        </w:rPr>
        <w:t> </w:t>
      </w:r>
      <w:r>
        <w:rPr/>
        <w:t>Report</w:t>
      </w:r>
      <w:r>
        <w:rPr>
          <w:spacing w:val="-1"/>
        </w:rPr>
        <w:t> </w:t>
      </w:r>
      <w:r>
        <w:rPr/>
        <w:t>922. Brighton, UK:</w:t>
      </w:r>
      <w:r>
        <w:rPr>
          <w:spacing w:val="2"/>
        </w:rPr>
        <w:t> </w:t>
      </w:r>
      <w:r>
        <w:rPr/>
        <w:t>Institute</w:t>
      </w:r>
      <w:r>
        <w:rPr>
          <w:spacing w:val="-1"/>
        </w:rPr>
        <w:t> </w:t>
      </w:r>
      <w:r>
        <w:rPr/>
        <w:t>of Development</w:t>
      </w:r>
      <w:r>
        <w:rPr>
          <w:spacing w:val="-1"/>
        </w:rPr>
        <w:t> </w:t>
      </w:r>
      <w:r>
        <w:rPr/>
        <w:t>Studies.</w:t>
      </w:r>
    </w:p>
    <w:p>
      <w:pPr>
        <w:pStyle w:val="BodyText"/>
        <w:spacing w:line="276" w:lineRule="auto" w:before="200"/>
        <w:ind w:right="506"/>
      </w:pPr>
      <w:r>
        <w:rPr/>
        <w:t>Haines,</w:t>
      </w:r>
      <w:r>
        <w:rPr>
          <w:spacing w:val="-2"/>
        </w:rPr>
        <w:t> </w:t>
      </w:r>
      <w:r>
        <w:rPr/>
        <w:t>A.</w:t>
      </w:r>
      <w:r>
        <w:rPr>
          <w:spacing w:val="-1"/>
        </w:rPr>
        <w:t> </w:t>
      </w:r>
      <w:r>
        <w:rPr/>
        <w:t>(2006).</w:t>
      </w:r>
      <w:r>
        <w:rPr>
          <w:spacing w:val="-1"/>
        </w:rPr>
        <w:t> </w:t>
      </w:r>
      <w:r>
        <w:rPr/>
        <w:t>Climate</w:t>
      </w:r>
      <w:r>
        <w:rPr>
          <w:spacing w:val="-2"/>
        </w:rPr>
        <w:t> </w:t>
      </w:r>
      <w:r>
        <w:rPr/>
        <w:t>change</w:t>
      </w:r>
      <w:r>
        <w:rPr>
          <w:spacing w:val="-1"/>
        </w:rPr>
        <w:t> </w:t>
      </w:r>
      <w:r>
        <w:rPr/>
        <w:t>and</w:t>
      </w:r>
      <w:r>
        <w:rPr>
          <w:spacing w:val="-1"/>
        </w:rPr>
        <w:t> </w:t>
      </w:r>
      <w:r>
        <w:rPr/>
        <w:t>human</w:t>
      </w:r>
      <w:r>
        <w:rPr>
          <w:spacing w:val="-1"/>
        </w:rPr>
        <w:t> </w:t>
      </w:r>
      <w:r>
        <w:rPr/>
        <w:t>health:</w:t>
      </w:r>
      <w:r>
        <w:rPr>
          <w:spacing w:val="1"/>
        </w:rPr>
        <w:t> </w:t>
      </w:r>
      <w:r>
        <w:rPr/>
        <w:t>Impacts,</w:t>
      </w:r>
      <w:r>
        <w:rPr>
          <w:spacing w:val="-2"/>
        </w:rPr>
        <w:t> </w:t>
      </w:r>
      <w:r>
        <w:rPr/>
        <w:t>vulnerability</w:t>
      </w:r>
      <w:r>
        <w:rPr>
          <w:spacing w:val="-4"/>
        </w:rPr>
        <w:t> </w:t>
      </w:r>
      <w:r>
        <w:rPr/>
        <w:t>and</w:t>
      </w:r>
      <w:r>
        <w:rPr>
          <w:spacing w:val="-1"/>
        </w:rPr>
        <w:t> </w:t>
      </w:r>
      <w:r>
        <w:rPr/>
        <w:t>public</w:t>
      </w:r>
      <w:r>
        <w:rPr>
          <w:spacing w:val="-2"/>
        </w:rPr>
        <w:t> </w:t>
      </w:r>
      <w:r>
        <w:rPr/>
        <w:t>health.</w:t>
      </w:r>
      <w:r>
        <w:rPr>
          <w:spacing w:val="-57"/>
        </w:rPr>
        <w:t> </w:t>
      </w:r>
      <w:r>
        <w:rPr/>
        <w:t>Journal</w:t>
      </w:r>
      <w:r>
        <w:rPr>
          <w:spacing w:val="-1"/>
        </w:rPr>
        <w:t> </w:t>
      </w:r>
      <w:r>
        <w:rPr/>
        <w:t>of the</w:t>
      </w:r>
      <w:r>
        <w:rPr>
          <w:spacing w:val="-1"/>
        </w:rPr>
        <w:t> </w:t>
      </w:r>
      <w:r>
        <w:rPr/>
        <w:t>Royal</w:t>
      </w:r>
      <w:r>
        <w:rPr>
          <w:spacing w:val="2"/>
        </w:rPr>
        <w:t> </w:t>
      </w:r>
      <w:r>
        <w:rPr/>
        <w:t>Institute</w:t>
      </w:r>
      <w:r>
        <w:rPr>
          <w:spacing w:val="-1"/>
        </w:rPr>
        <w:t> </w:t>
      </w:r>
      <w:r>
        <w:rPr/>
        <w:t>of Public Health, 120, 585–596.</w:t>
      </w:r>
    </w:p>
    <w:p>
      <w:pPr>
        <w:pStyle w:val="BodyText"/>
        <w:spacing w:line="276" w:lineRule="auto" w:before="201"/>
        <w:ind w:right="326"/>
      </w:pPr>
      <w:r>
        <w:rPr/>
        <w:t>Harper, S.L. , Cunsolo, A. , Babujee, A., Coggins, S., De Jongh, E. , Rusnak, T., Wright, C.J. ,</w:t>
      </w:r>
      <w:r>
        <w:rPr>
          <w:spacing w:val="1"/>
        </w:rPr>
        <w:t> </w:t>
      </w:r>
      <w:r>
        <w:rPr/>
        <w:t>Domínguez</w:t>
      </w:r>
      <w:r>
        <w:rPr>
          <w:spacing w:val="-1"/>
        </w:rPr>
        <w:t> </w:t>
      </w:r>
      <w:r>
        <w:rPr/>
        <w:t>Aguilar,</w:t>
      </w:r>
      <w:r>
        <w:rPr>
          <w:spacing w:val="-2"/>
        </w:rPr>
        <w:t> </w:t>
      </w:r>
      <w:r>
        <w:rPr/>
        <w:t>M..</w:t>
      </w:r>
      <w:r>
        <w:rPr>
          <w:spacing w:val="-1"/>
        </w:rPr>
        <w:t> </w:t>
      </w:r>
      <w:r>
        <w:rPr/>
        <w:t>(2021).</w:t>
      </w:r>
      <w:r>
        <w:rPr>
          <w:spacing w:val="-2"/>
        </w:rPr>
        <w:t> </w:t>
      </w:r>
      <w:r>
        <w:rPr/>
        <w:t>Trends and gaps in</w:t>
      </w:r>
      <w:r>
        <w:rPr>
          <w:spacing w:val="-1"/>
        </w:rPr>
        <w:t> </w:t>
      </w:r>
      <w:r>
        <w:rPr/>
        <w:t>climate</w:t>
      </w:r>
      <w:r>
        <w:rPr>
          <w:spacing w:val="-2"/>
        </w:rPr>
        <w:t> </w:t>
      </w:r>
      <w:r>
        <w:rPr/>
        <w:t>change</w:t>
      </w:r>
      <w:r>
        <w:rPr>
          <w:spacing w:val="-1"/>
        </w:rPr>
        <w:t> </w:t>
      </w:r>
      <w:r>
        <w:rPr/>
        <w:t>and</w:t>
      </w:r>
      <w:r>
        <w:rPr>
          <w:spacing w:val="-2"/>
        </w:rPr>
        <w:t> </w:t>
      </w:r>
      <w:r>
        <w:rPr/>
        <w:t>health</w:t>
      </w:r>
      <w:r>
        <w:rPr>
          <w:spacing w:val="-2"/>
        </w:rPr>
        <w:t> </w:t>
      </w:r>
      <w:r>
        <w:rPr/>
        <w:t>research</w:t>
      </w:r>
      <w:r>
        <w:rPr>
          <w:spacing w:val="-1"/>
        </w:rPr>
        <w:t> </w:t>
      </w:r>
      <w:r>
        <w:rPr/>
        <w:t>in</w:t>
      </w:r>
      <w:r>
        <w:rPr>
          <w:spacing w:val="-2"/>
        </w:rPr>
        <w:t> </w:t>
      </w:r>
      <w:r>
        <w:rPr/>
        <w:t>North</w:t>
      </w:r>
      <w:r>
        <w:rPr>
          <w:spacing w:val="-57"/>
        </w:rPr>
        <w:t> </w:t>
      </w:r>
      <w:r>
        <w:rPr/>
        <w:t>America,</w:t>
      </w:r>
      <w:r>
        <w:rPr>
          <w:spacing w:val="-1"/>
        </w:rPr>
        <w:t> </w:t>
      </w:r>
      <w:r>
        <w:rPr/>
        <w:t>Environ Research, Volume 199.</w:t>
      </w:r>
      <w:r>
        <w:rPr>
          <w:spacing w:val="1"/>
        </w:rPr>
        <w:t> </w:t>
      </w:r>
      <w:r>
        <w:rPr/>
        <w:t>ISSN 0013-9351,</w:t>
      </w:r>
      <w:r>
        <w:rPr>
          <w:spacing w:val="1"/>
        </w:rPr>
        <w:t> </w:t>
      </w:r>
      <w:r>
        <w:rPr/>
        <w:t>https://doi.org/10.1016/j.envres.2021.111205.</w:t>
      </w:r>
    </w:p>
    <w:p>
      <w:pPr>
        <w:pStyle w:val="BodyText"/>
        <w:spacing w:before="200"/>
      </w:pPr>
      <w:r>
        <w:rPr/>
        <w:t>Hila,</w:t>
      </w:r>
      <w:r>
        <w:rPr>
          <w:spacing w:val="-2"/>
        </w:rPr>
        <w:t> </w:t>
      </w:r>
      <w:r>
        <w:rPr/>
        <w:t>Ana-Belén. (2020). Urban</w:t>
      </w:r>
      <w:r>
        <w:rPr>
          <w:spacing w:val="-1"/>
        </w:rPr>
        <w:t> </w:t>
      </w:r>
      <w:r>
        <w:rPr/>
        <w:t>Poverty.</w:t>
      </w:r>
      <w:r>
        <w:rPr>
          <w:spacing w:val="-1"/>
        </w:rPr>
        <w:t> </w:t>
      </w:r>
      <w:r>
        <w:rPr/>
        <w:t>10.1093/obo/9780190922481-0037.</w:t>
      </w:r>
    </w:p>
    <w:p>
      <w:pPr>
        <w:pStyle w:val="BodyText"/>
        <w:ind w:left="0"/>
        <w:rPr>
          <w:sz w:val="21"/>
        </w:rPr>
      </w:pPr>
    </w:p>
    <w:p>
      <w:pPr>
        <w:pStyle w:val="BodyText"/>
        <w:spacing w:line="276" w:lineRule="auto"/>
        <w:ind w:right="522"/>
      </w:pPr>
      <w:r>
        <w:rPr/>
        <w:t>Hov, O., Hesstveldt, E. , Isaksen, I.S.A. (1978).</w:t>
      </w:r>
      <w:r>
        <w:rPr>
          <w:spacing w:val="1"/>
        </w:rPr>
        <w:t> </w:t>
      </w:r>
      <w:r>
        <w:rPr/>
        <w:t>Long-range transport, of tropospheric ozone</w:t>
      </w:r>
      <w:r>
        <w:rPr>
          <w:spacing w:val="-58"/>
        </w:rPr>
        <w:t> </w:t>
      </w:r>
      <w:r>
        <w:rPr/>
        <w:t>Nature,</w:t>
      </w:r>
      <w:r>
        <w:rPr>
          <w:spacing w:val="-2"/>
        </w:rPr>
        <w:t> </w:t>
      </w:r>
      <w:r>
        <w:rPr/>
        <w:t>273, pp. 341-344.</w:t>
      </w:r>
    </w:p>
    <w:p>
      <w:pPr>
        <w:pStyle w:val="BodyText"/>
        <w:spacing w:line="276" w:lineRule="auto" w:before="199"/>
        <w:ind w:right="418"/>
      </w:pPr>
      <w:r>
        <w:rPr/>
        <w:t>Hugelius, K., Gifford, M., Örtenwall, P., &amp; Adolfsson, A. (2017). Health among disaster</w:t>
      </w:r>
      <w:r>
        <w:rPr>
          <w:spacing w:val="1"/>
        </w:rPr>
        <w:t> </w:t>
      </w:r>
      <w:r>
        <w:rPr/>
        <w:t>survivors and health professionals after the Haiyan Typhoon: a self-selected Internet-based web</w:t>
      </w:r>
      <w:r>
        <w:rPr>
          <w:spacing w:val="-57"/>
        </w:rPr>
        <w:t> </w:t>
      </w:r>
      <w:r>
        <w:rPr/>
        <w:t>survey. International journal of emergency medicine, 10(1), 13. </w:t>
      </w:r>
      <w:hyperlink r:id="rId16">
        <w:r>
          <w:rPr/>
          <w:t>https://doi.org/10.1186/s12245-</w:t>
        </w:r>
      </w:hyperlink>
      <w:r>
        <w:rPr>
          <w:spacing w:val="-57"/>
        </w:rPr>
        <w:t> </w:t>
      </w:r>
      <w:hyperlink r:id="rId16">
        <w:r>
          <w:rPr/>
          <w:t>017-0139-6.</w:t>
        </w:r>
      </w:hyperlink>
    </w:p>
    <w:p>
      <w:pPr>
        <w:pStyle w:val="BodyText"/>
        <w:spacing w:line="276" w:lineRule="auto" w:before="202"/>
        <w:ind w:right="356"/>
      </w:pPr>
      <w:r>
        <w:rPr/>
        <w:t>IPCC. (2014).</w:t>
      </w:r>
      <w:r>
        <w:rPr>
          <w:spacing w:val="1"/>
        </w:rPr>
        <w:t> </w:t>
      </w:r>
      <w:r>
        <w:rPr/>
        <w:t>Annex II: Glossary [Mach, K.J., S. Planton and C. von Stechow (eds.)]. In:</w:t>
      </w:r>
      <w:r>
        <w:rPr>
          <w:spacing w:val="1"/>
        </w:rPr>
        <w:t> </w:t>
      </w:r>
      <w:r>
        <w:rPr/>
        <w:t>Climate Change 2014: Synthesis Report. Contribution of Working Groups I, II and III to the</w:t>
      </w:r>
      <w:r>
        <w:rPr>
          <w:spacing w:val="1"/>
        </w:rPr>
        <w:t> </w:t>
      </w:r>
      <w:r>
        <w:rPr/>
        <w:t>Fifth</w:t>
      </w:r>
      <w:r>
        <w:rPr>
          <w:spacing w:val="-2"/>
        </w:rPr>
        <w:t> </w:t>
      </w:r>
      <w:r>
        <w:rPr/>
        <w:t>Assessment</w:t>
      </w:r>
      <w:r>
        <w:rPr>
          <w:spacing w:val="-2"/>
        </w:rPr>
        <w:t> </w:t>
      </w:r>
      <w:r>
        <w:rPr/>
        <w:t>Report of</w:t>
      </w:r>
      <w:r>
        <w:rPr>
          <w:spacing w:val="-3"/>
        </w:rPr>
        <w:t> </w:t>
      </w:r>
      <w:r>
        <w:rPr/>
        <w:t>the Intergovern</w:t>
      </w:r>
      <w:r>
        <w:rPr>
          <w:spacing w:val="-2"/>
        </w:rPr>
        <w:t> </w:t>
      </w:r>
      <w:r>
        <w:rPr/>
        <w:t>Panel</w:t>
      </w:r>
      <w:r>
        <w:rPr>
          <w:spacing w:val="1"/>
        </w:rPr>
        <w:t> </w:t>
      </w:r>
      <w:r>
        <w:rPr/>
        <w:t>on</w:t>
      </w:r>
      <w:r>
        <w:rPr>
          <w:spacing w:val="-2"/>
        </w:rPr>
        <w:t> </w:t>
      </w:r>
      <w:r>
        <w:rPr/>
        <w:t>Climate</w:t>
      </w:r>
      <w:r>
        <w:rPr>
          <w:spacing w:val="-1"/>
        </w:rPr>
        <w:t> </w:t>
      </w:r>
      <w:r>
        <w:rPr/>
        <w:t>Change</w:t>
      </w:r>
      <w:r>
        <w:rPr>
          <w:spacing w:val="-3"/>
        </w:rPr>
        <w:t> </w:t>
      </w:r>
      <w:r>
        <w:rPr/>
        <w:t>[Core</w:t>
      </w:r>
      <w:r>
        <w:rPr>
          <w:spacing w:val="-2"/>
        </w:rPr>
        <w:t> </w:t>
      </w:r>
      <w:r>
        <w:rPr/>
        <w:t>Writing</w:t>
      </w:r>
      <w:r>
        <w:rPr>
          <w:spacing w:val="-4"/>
        </w:rPr>
        <w:t> </w:t>
      </w:r>
      <w:r>
        <w:rPr/>
        <w:t>Team,</w:t>
      </w:r>
      <w:r>
        <w:rPr>
          <w:spacing w:val="-1"/>
        </w:rPr>
        <w:t> </w:t>
      </w:r>
      <w:r>
        <w:rPr/>
        <w:t>R.K.</w:t>
      </w:r>
      <w:r>
        <w:rPr>
          <w:spacing w:val="-57"/>
        </w:rPr>
        <w:t> </w:t>
      </w:r>
      <w:r>
        <w:rPr/>
        <w:t>Pachauri</w:t>
      </w:r>
      <w:r>
        <w:rPr>
          <w:spacing w:val="-1"/>
        </w:rPr>
        <w:t> </w:t>
      </w:r>
      <w:r>
        <w:rPr/>
        <w:t>and</w:t>
      </w:r>
      <w:r>
        <w:rPr>
          <w:spacing w:val="1"/>
        </w:rPr>
        <w:t> </w:t>
      </w:r>
      <w:r>
        <w:rPr/>
        <w:t>L.A. Meyer (eds.)].</w:t>
      </w:r>
      <w:r>
        <w:rPr>
          <w:spacing w:val="2"/>
        </w:rPr>
        <w:t> </w:t>
      </w:r>
      <w:r>
        <w:rPr/>
        <w:t>IPCC, Geneva, Switzerland,</w:t>
      </w:r>
      <w:r>
        <w:rPr>
          <w:spacing w:val="-1"/>
        </w:rPr>
        <w:t> </w:t>
      </w:r>
      <w:r>
        <w:rPr/>
        <w:t>pp. 117-130.</w:t>
      </w:r>
    </w:p>
    <w:p>
      <w:pPr>
        <w:pStyle w:val="BodyText"/>
        <w:spacing w:line="276" w:lineRule="auto" w:before="199"/>
        <w:ind w:right="269"/>
        <w:jc w:val="both"/>
      </w:pPr>
      <w:r>
        <w:rPr/>
        <w:t>Jafino, B., Walsh, B., Rozenberg, J., &amp; Hallegatte, S. (2020). Revised Estimates of the Impact of</w:t>
      </w:r>
      <w:r>
        <w:rPr>
          <w:spacing w:val="1"/>
        </w:rPr>
        <w:t> </w:t>
      </w:r>
      <w:r>
        <w:rPr/>
        <w:t>Climate</w:t>
      </w:r>
      <w:r>
        <w:rPr>
          <w:spacing w:val="-2"/>
        </w:rPr>
        <w:t> </w:t>
      </w:r>
      <w:r>
        <w:rPr/>
        <w:t>Change</w:t>
      </w:r>
      <w:r>
        <w:rPr>
          <w:spacing w:val="-1"/>
        </w:rPr>
        <w:t> </w:t>
      </w:r>
      <w:r>
        <w:rPr/>
        <w:t>on Extreme</w:t>
      </w:r>
      <w:r>
        <w:rPr>
          <w:spacing w:val="-1"/>
        </w:rPr>
        <w:t> </w:t>
      </w:r>
      <w:r>
        <w:rPr/>
        <w:t>Poverty</w:t>
      </w:r>
      <w:r>
        <w:rPr>
          <w:spacing w:val="-5"/>
        </w:rPr>
        <w:t> </w:t>
      </w:r>
      <w:r>
        <w:rPr/>
        <w:t>by</w:t>
      </w:r>
      <w:r>
        <w:rPr>
          <w:spacing w:val="-5"/>
        </w:rPr>
        <w:t> </w:t>
      </w:r>
      <w:r>
        <w:rPr/>
        <w:t>2030, The World Bank Climate</w:t>
      </w:r>
      <w:r>
        <w:rPr>
          <w:spacing w:val="-1"/>
        </w:rPr>
        <w:t> </w:t>
      </w:r>
      <w:r>
        <w:rPr/>
        <w:t>Change</w:t>
      </w:r>
      <w:r>
        <w:rPr>
          <w:spacing w:val="-1"/>
        </w:rPr>
        <w:t> </w:t>
      </w:r>
      <w:r>
        <w:rPr/>
        <w:t>Group</w:t>
      </w:r>
      <w:r>
        <w:rPr>
          <w:spacing w:val="2"/>
        </w:rPr>
        <w:t> </w:t>
      </w:r>
      <w:r>
        <w:rPr/>
        <w:t>&amp;</w:t>
      </w:r>
      <w:r>
        <w:rPr>
          <w:spacing w:val="-2"/>
        </w:rPr>
        <w:t> </w:t>
      </w:r>
      <w:r>
        <w:rPr/>
        <w:t>Global</w:t>
      </w:r>
      <w:r>
        <w:rPr>
          <w:spacing w:val="-58"/>
        </w:rPr>
        <w:t> </w:t>
      </w:r>
      <w:r>
        <w:rPr/>
        <w:t>Facility</w:t>
      </w:r>
      <w:r>
        <w:rPr>
          <w:spacing w:val="-5"/>
        </w:rPr>
        <w:t> </w:t>
      </w:r>
      <w:r>
        <w:rPr/>
        <w:t>for</w:t>
      </w:r>
      <w:r>
        <w:rPr>
          <w:spacing w:val="-1"/>
        </w:rPr>
        <w:t> </w:t>
      </w:r>
      <w:r>
        <w:rPr/>
        <w:t>Disaster</w:t>
      </w:r>
      <w:r>
        <w:rPr>
          <w:spacing w:val="-1"/>
        </w:rPr>
        <w:t> </w:t>
      </w:r>
      <w:r>
        <w:rPr/>
        <w:t>Reduction and Recovery. Policy</w:t>
      </w:r>
      <w:r>
        <w:rPr>
          <w:spacing w:val="-5"/>
        </w:rPr>
        <w:t> </w:t>
      </w:r>
      <w:r>
        <w:rPr/>
        <w:t>Research Working</w:t>
      </w:r>
      <w:r>
        <w:rPr>
          <w:spacing w:val="-2"/>
        </w:rPr>
        <w:t> </w:t>
      </w:r>
      <w:r>
        <w:rPr/>
        <w:t>Paper 9417.</w:t>
      </w:r>
    </w:p>
    <w:p>
      <w:pPr>
        <w:pStyle w:val="BodyText"/>
        <w:spacing w:line="276" w:lineRule="auto" w:before="200"/>
        <w:ind w:right="262"/>
      </w:pPr>
      <w:r>
        <w:rPr/>
        <w:t>Khan, O., and Pappas, G. (2011). Megacities and public health. Washington, DC:</w:t>
      </w:r>
      <w:r>
        <w:rPr>
          <w:spacing w:val="1"/>
        </w:rPr>
        <w:t> </w:t>
      </w:r>
      <w:r>
        <w:rPr/>
        <w:t>American</w:t>
      </w:r>
      <w:r>
        <w:rPr>
          <w:spacing w:val="-57"/>
        </w:rPr>
        <w:t> </w:t>
      </w:r>
      <w:r>
        <w:rPr/>
        <w:t>Public</w:t>
      </w:r>
      <w:r>
        <w:rPr>
          <w:spacing w:val="-2"/>
        </w:rPr>
        <w:t> </w:t>
      </w:r>
      <w:r>
        <w:rPr/>
        <w:t>Health Association.</w:t>
      </w:r>
    </w:p>
    <w:p>
      <w:pPr>
        <w:pStyle w:val="BodyText"/>
        <w:spacing w:line="276" w:lineRule="auto" w:before="201"/>
        <w:ind w:right="535"/>
      </w:pPr>
      <w:r>
        <w:rPr>
          <w:color w:val="000000"/>
          <w:shd w:fill="FBFBFB" w:color="auto" w:val="clear"/>
        </w:rPr>
        <w:t>Lawal, O., Osayomi, T. (2021). Place-based modelling of social vulnerability to COVID-19 in</w:t>
      </w:r>
      <w:r>
        <w:rPr>
          <w:color w:val="000000"/>
          <w:spacing w:val="-57"/>
        </w:rPr>
        <w:t> </w:t>
      </w:r>
      <w:r>
        <w:rPr>
          <w:color w:val="000000"/>
          <w:shd w:fill="FBFBFB" w:color="auto" w:val="clear"/>
        </w:rPr>
        <w:t>Nigeria.</w:t>
      </w:r>
      <w:r>
        <w:rPr>
          <w:color w:val="000000"/>
          <w:spacing w:val="-1"/>
          <w:shd w:fill="FBFBFB" w:color="auto" w:val="clear"/>
        </w:rPr>
        <w:t> </w:t>
      </w:r>
      <w:r>
        <w:rPr>
          <w:color w:val="000000"/>
          <w:shd w:fill="FBFBFB" w:color="auto" w:val="clear"/>
        </w:rPr>
        <w:t>SN Soc Sci 1</w:t>
      </w:r>
      <w:r>
        <w:rPr>
          <w:b/>
          <w:color w:val="000000"/>
          <w:shd w:fill="FBFBFB" w:color="auto" w:val="clear"/>
        </w:rPr>
        <w:t>, </w:t>
      </w:r>
      <w:r>
        <w:rPr>
          <w:color w:val="000000"/>
          <w:shd w:fill="FBFBFB" w:color="auto" w:val="clear"/>
        </w:rPr>
        <w:t>269.</w:t>
      </w:r>
      <w:r>
        <w:rPr>
          <w:color w:val="000000"/>
          <w:spacing w:val="-1"/>
          <w:shd w:fill="FBFBFB" w:color="auto" w:val="clear"/>
        </w:rPr>
        <w:t> </w:t>
      </w:r>
      <w:r>
        <w:rPr>
          <w:color w:val="000000"/>
          <w:shd w:fill="FBFBFB" w:color="auto" w:val="clear"/>
        </w:rPr>
        <w:t>https://doi.org/10.1007/s43545-021-00285-5</w:t>
      </w:r>
    </w:p>
    <w:p>
      <w:pPr>
        <w:pStyle w:val="BodyText"/>
        <w:spacing w:line="276" w:lineRule="auto" w:before="200"/>
        <w:ind w:right="1155"/>
        <w:jc w:val="both"/>
      </w:pPr>
      <w:r>
        <w:rPr/>
        <w:t>Lee, V. J., Ho, M., Kai, C. W., Aguilera, X., Heymann, D., &amp; Wilder-Smith, A. (2020).</w:t>
      </w:r>
      <w:r>
        <w:rPr>
          <w:spacing w:val="-57"/>
        </w:rPr>
        <w:t> </w:t>
      </w:r>
      <w:r>
        <w:rPr/>
        <w:t>Epidemic preparedness in urban settings: new challenges and opportunities. </w:t>
      </w:r>
      <w:r>
        <w:rPr>
          <w:i/>
        </w:rPr>
        <w:t>The Lancet.</w:t>
      </w:r>
      <w:r>
        <w:rPr>
          <w:i/>
          <w:spacing w:val="-58"/>
        </w:rPr>
        <w:t> </w:t>
      </w:r>
      <w:r>
        <w:rPr>
          <w:i/>
        </w:rPr>
        <w:t>Infectious</w:t>
      </w:r>
      <w:r>
        <w:rPr>
          <w:i/>
          <w:spacing w:val="-2"/>
        </w:rPr>
        <w:t> </w:t>
      </w:r>
      <w:r>
        <w:rPr>
          <w:i/>
        </w:rPr>
        <w:t>diseases</w:t>
      </w:r>
      <w:r>
        <w:rPr/>
        <w:t>,</w:t>
      </w:r>
      <w:r>
        <w:rPr>
          <w:spacing w:val="-1"/>
        </w:rPr>
        <w:t> </w:t>
      </w:r>
      <w:r>
        <w:rPr>
          <w:i/>
        </w:rPr>
        <w:t>20</w:t>
      </w:r>
      <w:r>
        <w:rPr/>
        <w:t>(5),</w:t>
      </w:r>
      <w:r>
        <w:rPr>
          <w:spacing w:val="-1"/>
        </w:rPr>
        <w:t> </w:t>
      </w:r>
      <w:r>
        <w:rPr/>
        <w:t>527–529.</w:t>
      </w:r>
      <w:r>
        <w:rPr>
          <w:spacing w:val="-1"/>
        </w:rPr>
        <w:t> </w:t>
      </w:r>
      <w:hyperlink r:id="rId17">
        <w:r>
          <w:rPr/>
          <w:t>https://doi.org/10.1016/S1473-3099(20)30249-8</w:t>
        </w:r>
      </w:hyperlink>
    </w:p>
    <w:p>
      <w:pPr>
        <w:spacing w:after="0" w:line="276" w:lineRule="auto"/>
        <w:jc w:val="both"/>
        <w:sectPr>
          <w:pgSz w:w="12240" w:h="15840"/>
          <w:pgMar w:top="1360" w:bottom="280" w:left="1220" w:right="1180"/>
        </w:sectPr>
      </w:pPr>
    </w:p>
    <w:p>
      <w:pPr>
        <w:pStyle w:val="BodyText"/>
        <w:spacing w:line="276" w:lineRule="auto" w:before="74"/>
        <w:ind w:right="894"/>
      </w:pPr>
      <w:r>
        <w:rPr/>
        <w:t>Li Q, Guan X, Wu P. (2020). Early transmission dynamics in Wuhan, China, of novel</w:t>
      </w:r>
      <w:r>
        <w:rPr>
          <w:spacing w:val="1"/>
        </w:rPr>
        <w:t> </w:t>
      </w:r>
      <w:r>
        <w:rPr/>
        <w:t>coronavirus-infected pneumonia. </w:t>
      </w:r>
      <w:r>
        <w:rPr>
          <w:i/>
        </w:rPr>
        <w:t>N Engl J Med. </w:t>
      </w:r>
      <w:r>
        <w:rPr/>
        <w:t>doi: 10.1056/NEJMoa2001316. Published</w:t>
      </w:r>
      <w:r>
        <w:rPr>
          <w:spacing w:val="-57"/>
        </w:rPr>
        <w:t> </w:t>
      </w:r>
      <w:r>
        <w:rPr/>
        <w:t>online</w:t>
      </w:r>
      <w:r>
        <w:rPr>
          <w:spacing w:val="-1"/>
        </w:rPr>
        <w:t> </w:t>
      </w:r>
      <w:r>
        <w:rPr/>
        <w:t>Jan 29.</w:t>
      </w:r>
    </w:p>
    <w:p>
      <w:pPr>
        <w:pStyle w:val="BodyText"/>
        <w:spacing w:line="276" w:lineRule="auto" w:before="200"/>
        <w:ind w:right="554"/>
      </w:pPr>
      <w:r>
        <w:rPr/>
        <w:t>Litosseliti, Lia. (2003). Using Focus Groups in Research. Bloomsbury Academic Pubblishing,</w:t>
      </w:r>
      <w:r>
        <w:rPr>
          <w:spacing w:val="-57"/>
        </w:rPr>
        <w:t> </w:t>
      </w:r>
      <w:r>
        <w:rPr/>
        <w:t>London,</w:t>
      </w:r>
      <w:r>
        <w:rPr>
          <w:spacing w:val="-1"/>
        </w:rPr>
        <w:t> </w:t>
      </w:r>
      <w:r>
        <w:rPr/>
        <w:t>U.K.</w:t>
      </w:r>
      <w:r>
        <w:rPr>
          <w:spacing w:val="2"/>
        </w:rPr>
        <w:t> </w:t>
      </w:r>
      <w:r>
        <w:rPr/>
        <w:t>ISBN-13:</w:t>
      </w:r>
      <w:r>
        <w:rPr>
          <w:spacing w:val="2"/>
        </w:rPr>
        <w:t> </w:t>
      </w:r>
      <w:r>
        <w:rPr/>
        <w:t>9780826464729.</w:t>
      </w:r>
    </w:p>
    <w:p>
      <w:pPr>
        <w:pStyle w:val="BodyText"/>
        <w:spacing w:line="276" w:lineRule="auto" w:before="201"/>
        <w:ind w:right="421"/>
      </w:pPr>
      <w:r>
        <w:rPr/>
        <w:t>Marolla,</w:t>
      </w:r>
      <w:r>
        <w:rPr>
          <w:spacing w:val="-2"/>
        </w:rPr>
        <w:t> </w:t>
      </w:r>
      <w:r>
        <w:rPr/>
        <w:t>C.</w:t>
      </w:r>
      <w:r>
        <w:rPr>
          <w:spacing w:val="-2"/>
        </w:rPr>
        <w:t> </w:t>
      </w:r>
      <w:r>
        <w:rPr/>
        <w:t>(2016).</w:t>
      </w:r>
      <w:r>
        <w:rPr>
          <w:spacing w:val="-2"/>
        </w:rPr>
        <w:t> </w:t>
      </w:r>
      <w:r>
        <w:rPr/>
        <w:t>Climate</w:t>
      </w:r>
      <w:r>
        <w:rPr>
          <w:spacing w:val="-1"/>
        </w:rPr>
        <w:t> </w:t>
      </w:r>
      <w:r>
        <w:rPr/>
        <w:t>Health</w:t>
      </w:r>
      <w:r>
        <w:rPr>
          <w:spacing w:val="-2"/>
        </w:rPr>
        <w:t> </w:t>
      </w:r>
      <w:r>
        <w:rPr/>
        <w:t>Risks</w:t>
      </w:r>
      <w:r>
        <w:rPr>
          <w:spacing w:val="-2"/>
        </w:rPr>
        <w:t> </w:t>
      </w:r>
      <w:r>
        <w:rPr/>
        <w:t>in</w:t>
      </w:r>
      <w:r>
        <w:rPr>
          <w:spacing w:val="-2"/>
        </w:rPr>
        <w:t> </w:t>
      </w:r>
      <w:r>
        <w:rPr/>
        <w:t>Megacities:</w:t>
      </w:r>
      <w:r>
        <w:rPr>
          <w:spacing w:val="-1"/>
        </w:rPr>
        <w:t> </w:t>
      </w:r>
      <w:r>
        <w:rPr/>
        <w:t>Sustainable</w:t>
      </w:r>
      <w:r>
        <w:rPr>
          <w:spacing w:val="-2"/>
        </w:rPr>
        <w:t> </w:t>
      </w:r>
      <w:r>
        <w:rPr/>
        <w:t>Management</w:t>
      </w:r>
      <w:r>
        <w:rPr>
          <w:spacing w:val="-2"/>
        </w:rPr>
        <w:t> </w:t>
      </w:r>
      <w:r>
        <w:rPr/>
        <w:t>and</w:t>
      </w:r>
      <w:r>
        <w:rPr>
          <w:spacing w:val="-1"/>
        </w:rPr>
        <w:t> </w:t>
      </w:r>
      <w:r>
        <w:rPr/>
        <w:t>Strategic</w:t>
      </w:r>
      <w:r>
        <w:rPr>
          <w:spacing w:val="-57"/>
        </w:rPr>
        <w:t> </w:t>
      </w:r>
      <w:r>
        <w:rPr/>
        <w:t>Planning.</w:t>
      </w:r>
      <w:r>
        <w:rPr>
          <w:spacing w:val="-1"/>
        </w:rPr>
        <w:t> </w:t>
      </w:r>
      <w:r>
        <w:rPr/>
        <w:t>Taylor</w:t>
      </w:r>
      <w:r>
        <w:rPr>
          <w:spacing w:val="1"/>
        </w:rPr>
        <w:t> </w:t>
      </w:r>
      <w:r>
        <w:rPr/>
        <w:t>and Francis Group.</w:t>
      </w:r>
      <w:r>
        <w:rPr>
          <w:spacing w:val="3"/>
        </w:rPr>
        <w:t> </w:t>
      </w:r>
      <w:r>
        <w:rPr/>
        <w:t>ISBN 9781498767750</w:t>
      </w:r>
    </w:p>
    <w:p>
      <w:pPr>
        <w:pStyle w:val="BodyText"/>
        <w:spacing w:line="276" w:lineRule="auto" w:before="200"/>
        <w:ind w:right="1134"/>
      </w:pPr>
      <w:r>
        <w:rPr/>
        <w:t>McDonald, J. F., &amp; McMillen, D. P. (2008). Urban Economics and Real Estate. Oxford:</w:t>
      </w:r>
      <w:r>
        <w:rPr>
          <w:spacing w:val="-58"/>
        </w:rPr>
        <w:t> </w:t>
      </w:r>
      <w:r>
        <w:rPr/>
        <w:t>Blackwell</w:t>
      </w:r>
      <w:r>
        <w:rPr>
          <w:spacing w:val="-1"/>
        </w:rPr>
        <w:t> </w:t>
      </w:r>
      <w:r>
        <w:rPr/>
        <w:t>Publishing.</w:t>
      </w:r>
    </w:p>
    <w:p>
      <w:pPr>
        <w:pStyle w:val="BodyText"/>
        <w:spacing w:line="278" w:lineRule="auto" w:before="199"/>
        <w:ind w:right="1711"/>
      </w:pPr>
      <w:r>
        <w:rPr/>
        <w:t>Metsky</w:t>
      </w:r>
      <w:r>
        <w:rPr>
          <w:spacing w:val="-6"/>
        </w:rPr>
        <w:t> </w:t>
      </w:r>
      <w:r>
        <w:rPr/>
        <w:t>HC, Matranga</w:t>
      </w:r>
      <w:r>
        <w:rPr>
          <w:spacing w:val="-1"/>
        </w:rPr>
        <w:t> </w:t>
      </w:r>
      <w:r>
        <w:rPr/>
        <w:t>CB,</w:t>
      </w:r>
      <w:r>
        <w:rPr>
          <w:spacing w:val="-1"/>
        </w:rPr>
        <w:t> </w:t>
      </w:r>
      <w:r>
        <w:rPr/>
        <w:t>Wohl S. (2017).</w:t>
      </w:r>
      <w:r>
        <w:rPr>
          <w:spacing w:val="-1"/>
        </w:rPr>
        <w:t> </w:t>
      </w:r>
      <w:r>
        <w:rPr/>
        <w:t>Zika</w:t>
      </w:r>
      <w:r>
        <w:rPr>
          <w:spacing w:val="1"/>
        </w:rPr>
        <w:t> </w:t>
      </w:r>
      <w:r>
        <w:rPr/>
        <w:t>virus evolution</w:t>
      </w:r>
      <w:r>
        <w:rPr>
          <w:spacing w:val="-1"/>
        </w:rPr>
        <w:t> </w:t>
      </w:r>
      <w:r>
        <w:rPr/>
        <w:t>and spread in</w:t>
      </w:r>
      <w:r>
        <w:rPr>
          <w:spacing w:val="-1"/>
        </w:rPr>
        <w:t> </w:t>
      </w:r>
      <w:r>
        <w:rPr/>
        <w:t>the</w:t>
      </w:r>
      <w:r>
        <w:rPr>
          <w:spacing w:val="-57"/>
        </w:rPr>
        <w:t> </w:t>
      </w:r>
      <w:r>
        <w:rPr/>
        <w:t>Americas.</w:t>
      </w:r>
      <w:r>
        <w:rPr>
          <w:spacing w:val="-1"/>
        </w:rPr>
        <w:t> </w:t>
      </w:r>
      <w:r>
        <w:rPr>
          <w:i/>
        </w:rPr>
        <w:t>Nature</w:t>
      </w:r>
      <w:r>
        <w:rPr/>
        <w:t>; 546:411–415.</w:t>
      </w:r>
    </w:p>
    <w:p>
      <w:pPr>
        <w:pStyle w:val="BodyText"/>
        <w:spacing w:line="276" w:lineRule="auto" w:before="195"/>
      </w:pPr>
      <w:r>
        <w:rPr/>
        <w:t>Middleton, J., Cunsolo, A., Jones-Bitton, A., Shiwak, I., Wood, M., Pollock, N., Flowers, C.,</w:t>
      </w:r>
      <w:r>
        <w:rPr>
          <w:spacing w:val="1"/>
        </w:rPr>
        <w:t> </w:t>
      </w:r>
      <w:r>
        <w:rPr/>
        <w:t>Harper,</w:t>
      </w:r>
      <w:r>
        <w:rPr>
          <w:spacing w:val="-3"/>
        </w:rPr>
        <w:t> </w:t>
      </w:r>
      <w:r>
        <w:rPr/>
        <w:t>S. L. (2020).</w:t>
      </w:r>
      <w:r>
        <w:rPr>
          <w:spacing w:val="-2"/>
        </w:rPr>
        <w:t> </w:t>
      </w:r>
      <w:r>
        <w:rPr/>
        <w:t>“We're</w:t>
      </w:r>
      <w:r>
        <w:rPr>
          <w:spacing w:val="-3"/>
        </w:rPr>
        <w:t> </w:t>
      </w:r>
      <w:r>
        <w:rPr/>
        <w:t>people</w:t>
      </w:r>
      <w:r>
        <w:rPr>
          <w:spacing w:val="-2"/>
        </w:rPr>
        <w:t> </w:t>
      </w:r>
      <w:r>
        <w:rPr/>
        <w:t>of</w:t>
      </w:r>
      <w:r>
        <w:rPr>
          <w:spacing w:val="-4"/>
        </w:rPr>
        <w:t> </w:t>
      </w:r>
      <w:r>
        <w:rPr/>
        <w:t>the</w:t>
      </w:r>
      <w:r>
        <w:rPr>
          <w:spacing w:val="-3"/>
        </w:rPr>
        <w:t> </w:t>
      </w:r>
      <w:r>
        <w:rPr/>
        <w:t>snow:”</w:t>
      </w:r>
      <w:r>
        <w:rPr>
          <w:spacing w:val="-1"/>
        </w:rPr>
        <w:t> </w:t>
      </w:r>
      <w:r>
        <w:rPr/>
        <w:t>Weather,</w:t>
      </w:r>
      <w:r>
        <w:rPr>
          <w:spacing w:val="-2"/>
        </w:rPr>
        <w:t> </w:t>
      </w:r>
      <w:r>
        <w:rPr/>
        <w:t>climate</w:t>
      </w:r>
      <w:r>
        <w:rPr>
          <w:spacing w:val="-3"/>
        </w:rPr>
        <w:t> </w:t>
      </w:r>
      <w:r>
        <w:rPr/>
        <w:t>change, and Inuit</w:t>
      </w:r>
      <w:r>
        <w:rPr>
          <w:spacing w:val="55"/>
        </w:rPr>
        <w:t> </w:t>
      </w:r>
      <w:r>
        <w:rPr/>
        <w:t>wellness,</w:t>
      </w:r>
      <w:r>
        <w:rPr>
          <w:spacing w:val="-57"/>
        </w:rPr>
        <w:t> </w:t>
      </w:r>
      <w:r>
        <w:rPr/>
        <w:t>Social Science &amp; Medicine, Volume 262, 2020, 113137, ISSN 0277-9536,</w:t>
      </w:r>
      <w:r>
        <w:rPr>
          <w:spacing w:val="1"/>
        </w:rPr>
        <w:t> </w:t>
      </w:r>
      <w:r>
        <w:rPr/>
        <w:t>https://doi.org/10.1016/j.socscimed.2020.113137.</w:t>
      </w:r>
    </w:p>
    <w:p>
      <w:pPr>
        <w:pStyle w:val="BodyText"/>
        <w:spacing w:line="276" w:lineRule="auto" w:before="202"/>
        <w:ind w:right="399"/>
      </w:pPr>
      <w:r>
        <w:rPr/>
        <w:t>Mitchell,</w:t>
      </w:r>
      <w:r>
        <w:rPr>
          <w:spacing w:val="-2"/>
        </w:rPr>
        <w:t> </w:t>
      </w:r>
      <w:r>
        <w:rPr/>
        <w:t>J.</w:t>
      </w:r>
      <w:r>
        <w:rPr>
          <w:spacing w:val="-1"/>
        </w:rPr>
        <w:t> </w:t>
      </w:r>
      <w:r>
        <w:rPr/>
        <w:t>K.</w:t>
      </w:r>
      <w:r>
        <w:rPr>
          <w:spacing w:val="-2"/>
        </w:rPr>
        <w:t> </w:t>
      </w:r>
      <w:r>
        <w:rPr/>
        <w:t>(1989).</w:t>
      </w:r>
      <w:r>
        <w:rPr>
          <w:spacing w:val="-1"/>
        </w:rPr>
        <w:t> </w:t>
      </w:r>
      <w:r>
        <w:rPr/>
        <w:t>Hazards</w:t>
      </w:r>
      <w:r>
        <w:rPr>
          <w:spacing w:val="-2"/>
        </w:rPr>
        <w:t> </w:t>
      </w:r>
      <w:r>
        <w:rPr/>
        <w:t>research.</w:t>
      </w:r>
      <w:r>
        <w:rPr>
          <w:spacing w:val="3"/>
        </w:rPr>
        <w:t> </w:t>
      </w:r>
      <w:r>
        <w:rPr/>
        <w:t>In</w:t>
      </w:r>
      <w:r>
        <w:rPr>
          <w:spacing w:val="-2"/>
        </w:rPr>
        <w:t> </w:t>
      </w:r>
      <w:r>
        <w:rPr/>
        <w:t>Gaile,</w:t>
      </w:r>
      <w:r>
        <w:rPr>
          <w:spacing w:val="1"/>
        </w:rPr>
        <w:t> </w:t>
      </w:r>
      <w:r>
        <w:rPr/>
        <w:t>G.</w:t>
      </w:r>
      <w:r>
        <w:rPr>
          <w:spacing w:val="-1"/>
        </w:rPr>
        <w:t> </w:t>
      </w:r>
      <w:r>
        <w:rPr/>
        <w:t>L.</w:t>
      </w:r>
      <w:r>
        <w:rPr>
          <w:spacing w:val="1"/>
        </w:rPr>
        <w:t> </w:t>
      </w:r>
      <w:r>
        <w:rPr/>
        <w:t>and</w:t>
      </w:r>
      <w:r>
        <w:rPr>
          <w:spacing w:val="-2"/>
        </w:rPr>
        <w:t> </w:t>
      </w:r>
      <w:r>
        <w:rPr/>
        <w:t>Willmott,</w:t>
      </w:r>
      <w:r>
        <w:rPr>
          <w:spacing w:val="-1"/>
        </w:rPr>
        <w:t> </w:t>
      </w:r>
      <w:r>
        <w:rPr/>
        <w:t>C.</w:t>
      </w:r>
      <w:r>
        <w:rPr>
          <w:spacing w:val="-3"/>
        </w:rPr>
        <w:t> </w:t>
      </w:r>
      <w:r>
        <w:rPr/>
        <w:t>J.</w:t>
      </w:r>
      <w:r>
        <w:rPr>
          <w:spacing w:val="-5"/>
        </w:rPr>
        <w:t> </w:t>
      </w:r>
      <w:r>
        <w:rPr/>
        <w:t>(eds),</w:t>
      </w:r>
      <w:r>
        <w:rPr>
          <w:spacing w:val="-1"/>
        </w:rPr>
        <w:t> </w:t>
      </w:r>
      <w:r>
        <w:rPr/>
        <w:t>Geography</w:t>
      </w:r>
      <w:r>
        <w:rPr>
          <w:spacing w:val="-6"/>
        </w:rPr>
        <w:t> </w:t>
      </w:r>
      <w:r>
        <w:rPr/>
        <w:t>in</w:t>
      </w:r>
      <w:r>
        <w:rPr>
          <w:spacing w:val="-57"/>
        </w:rPr>
        <w:t> </w:t>
      </w:r>
      <w:r>
        <w:rPr/>
        <w:t>America.</w:t>
      </w:r>
      <w:r>
        <w:rPr>
          <w:spacing w:val="-1"/>
        </w:rPr>
        <w:t> </w:t>
      </w:r>
      <w:r>
        <w:rPr/>
        <w:t>Merrill: Columbus, OH, USA, 410–424.</w:t>
      </w:r>
    </w:p>
    <w:p>
      <w:pPr>
        <w:pStyle w:val="BodyText"/>
        <w:spacing w:line="276" w:lineRule="auto" w:before="198"/>
      </w:pPr>
      <w:r>
        <w:rPr/>
        <w:t>Morris, Hayward, and Yamirelis. ‘‘The Political Determinants of Disaster Risk: Assessing the</w:t>
      </w:r>
      <w:r>
        <w:rPr>
          <w:spacing w:val="1"/>
        </w:rPr>
        <w:t> </w:t>
      </w:r>
      <w:r>
        <w:rPr/>
        <w:t>Unfolding</w:t>
      </w:r>
      <w:r>
        <w:rPr>
          <w:spacing w:val="-5"/>
        </w:rPr>
        <w:t> </w:t>
      </w:r>
      <w:r>
        <w:rPr/>
        <w:t>Aftermath</w:t>
      </w:r>
      <w:r>
        <w:rPr>
          <w:spacing w:val="-1"/>
        </w:rPr>
        <w:t> </w:t>
      </w:r>
      <w:r>
        <w:rPr/>
        <w:t>of Hurricane</w:t>
      </w:r>
      <w:r>
        <w:rPr>
          <w:spacing w:val="-2"/>
        </w:rPr>
        <w:t> </w:t>
      </w:r>
      <w:r>
        <w:rPr/>
        <w:t>Maria</w:t>
      </w:r>
      <w:r>
        <w:rPr>
          <w:spacing w:val="-2"/>
        </w:rPr>
        <w:t> </w:t>
      </w:r>
      <w:r>
        <w:rPr/>
        <w:t>for</w:t>
      </w:r>
      <w:r>
        <w:rPr>
          <w:spacing w:val="-2"/>
        </w:rPr>
        <w:t> </w:t>
      </w:r>
      <w:r>
        <w:rPr/>
        <w:t>People</w:t>
      </w:r>
      <w:r>
        <w:rPr>
          <w:spacing w:val="-2"/>
        </w:rPr>
        <w:t> </w:t>
      </w:r>
      <w:r>
        <w:rPr/>
        <w:t>with</w:t>
      </w:r>
      <w:r>
        <w:rPr>
          <w:spacing w:val="-1"/>
        </w:rPr>
        <w:t> </w:t>
      </w:r>
      <w:r>
        <w:rPr/>
        <w:t>Disabilities</w:t>
      </w:r>
      <w:r>
        <w:rPr>
          <w:spacing w:val="-1"/>
        </w:rPr>
        <w:t> </w:t>
      </w:r>
      <w:r>
        <w:rPr/>
        <w:t>in</w:t>
      </w:r>
      <w:r>
        <w:rPr>
          <w:spacing w:val="-1"/>
        </w:rPr>
        <w:t> </w:t>
      </w:r>
      <w:r>
        <w:rPr/>
        <w:t>Puerto</w:t>
      </w:r>
      <w:r>
        <w:rPr>
          <w:spacing w:val="-1"/>
        </w:rPr>
        <w:t> </w:t>
      </w:r>
      <w:r>
        <w:rPr/>
        <w:t>Rico.’’</w:t>
      </w:r>
      <w:r>
        <w:rPr>
          <w:spacing w:val="-3"/>
        </w:rPr>
        <w:t> </w:t>
      </w:r>
      <w:r>
        <w:rPr/>
        <w:t>Environ</w:t>
      </w:r>
      <w:r>
        <w:rPr>
          <w:spacing w:val="-57"/>
        </w:rPr>
        <w:t> </w:t>
      </w:r>
      <w:r>
        <w:rPr/>
        <w:t>Justice</w:t>
      </w:r>
      <w:r>
        <w:rPr>
          <w:spacing w:val="-3"/>
        </w:rPr>
        <w:t> </w:t>
      </w:r>
      <w:r>
        <w:rPr/>
        <w:t>(2018). DOI: 10.1089/ env.2017.0043;</w:t>
      </w:r>
    </w:p>
    <w:p>
      <w:pPr>
        <w:pStyle w:val="BodyText"/>
        <w:spacing w:line="276" w:lineRule="auto" w:before="200"/>
        <w:ind w:right="675"/>
      </w:pPr>
      <w:r>
        <w:rPr/>
        <w:t>Nalau,</w:t>
      </w:r>
      <w:r>
        <w:rPr>
          <w:spacing w:val="-2"/>
        </w:rPr>
        <w:t> </w:t>
      </w:r>
      <w:r>
        <w:rPr/>
        <w:t>J.,</w:t>
      </w:r>
      <w:r>
        <w:rPr>
          <w:spacing w:val="-1"/>
        </w:rPr>
        <w:t> </w:t>
      </w:r>
      <w:r>
        <w:rPr/>
        <w:t>and</w:t>
      </w:r>
      <w:r>
        <w:rPr>
          <w:spacing w:val="-1"/>
        </w:rPr>
        <w:t> </w:t>
      </w:r>
      <w:r>
        <w:rPr/>
        <w:t>Verrall,</w:t>
      </w:r>
      <w:r>
        <w:rPr>
          <w:spacing w:val="-1"/>
        </w:rPr>
        <w:t> </w:t>
      </w:r>
      <w:r>
        <w:rPr/>
        <w:t>B. (2021).</w:t>
      </w:r>
      <w:r>
        <w:rPr>
          <w:spacing w:val="-1"/>
        </w:rPr>
        <w:t> </w:t>
      </w:r>
      <w:r>
        <w:rPr/>
        <w:t>Mapping</w:t>
      </w:r>
      <w:r>
        <w:rPr>
          <w:spacing w:val="-4"/>
        </w:rPr>
        <w:t> </w:t>
      </w:r>
      <w:r>
        <w:rPr/>
        <w:t>the</w:t>
      </w:r>
      <w:r>
        <w:rPr>
          <w:spacing w:val="-1"/>
        </w:rPr>
        <w:t> </w:t>
      </w:r>
      <w:r>
        <w:rPr/>
        <w:t>evolution</w:t>
      </w:r>
      <w:r>
        <w:rPr>
          <w:spacing w:val="-1"/>
        </w:rPr>
        <w:t> </w:t>
      </w:r>
      <w:r>
        <w:rPr/>
        <w:t>and</w:t>
      </w:r>
      <w:r>
        <w:rPr>
          <w:spacing w:val="-2"/>
        </w:rPr>
        <w:t> </w:t>
      </w:r>
      <w:r>
        <w:rPr/>
        <w:t>current</w:t>
      </w:r>
      <w:r>
        <w:rPr>
          <w:spacing w:val="-1"/>
        </w:rPr>
        <w:t> </w:t>
      </w:r>
      <w:r>
        <w:rPr/>
        <w:t>trends</w:t>
      </w:r>
      <w:r>
        <w:rPr>
          <w:spacing w:val="-1"/>
        </w:rPr>
        <w:t> </w:t>
      </w:r>
      <w:r>
        <w:rPr/>
        <w:t>in</w:t>
      </w:r>
      <w:r>
        <w:rPr>
          <w:spacing w:val="-1"/>
        </w:rPr>
        <w:t> </w:t>
      </w:r>
      <w:r>
        <w:rPr/>
        <w:t>climate</w:t>
      </w:r>
      <w:r>
        <w:rPr>
          <w:spacing w:val="-2"/>
        </w:rPr>
        <w:t> </w:t>
      </w:r>
      <w:r>
        <w:rPr/>
        <w:t>change</w:t>
      </w:r>
      <w:r>
        <w:rPr>
          <w:spacing w:val="-57"/>
        </w:rPr>
        <w:t> </w:t>
      </w:r>
      <w:r>
        <w:rPr/>
        <w:t>adaptation science, Climate Risk Management, Volume 32, ISSN 2212-0963,</w:t>
      </w:r>
      <w:r>
        <w:rPr>
          <w:spacing w:val="1"/>
        </w:rPr>
        <w:t> </w:t>
      </w:r>
      <w:r>
        <w:rPr/>
        <w:t>https://doi.org/10.1016/j.crm.2021.100290.</w:t>
      </w:r>
    </w:p>
    <w:p>
      <w:pPr>
        <w:pStyle w:val="BodyText"/>
        <w:spacing w:before="197"/>
        <w:ind w:right="135"/>
      </w:pPr>
      <w:r>
        <w:rPr/>
        <w:t>National Sample Survey Organization Conditions of Urban Slums 2002, Salient Features, NSS</w:t>
      </w:r>
      <w:r>
        <w:rPr>
          <w:spacing w:val="1"/>
        </w:rPr>
        <w:t> </w:t>
      </w:r>
      <w:r>
        <w:rPr/>
        <w:t>58th</w:t>
      </w:r>
      <w:r>
        <w:rPr>
          <w:spacing w:val="-1"/>
        </w:rPr>
        <w:t> </w:t>
      </w:r>
      <w:r>
        <w:rPr/>
        <w:t>Round</w:t>
      </w:r>
      <w:r>
        <w:rPr>
          <w:spacing w:val="-1"/>
        </w:rPr>
        <w:t> </w:t>
      </w:r>
      <w:r>
        <w:rPr/>
        <w:t>(July</w:t>
      </w:r>
      <w:r>
        <w:rPr>
          <w:spacing w:val="-9"/>
        </w:rPr>
        <w:t> </w:t>
      </w:r>
      <w:r>
        <w:rPr/>
        <w:t>2002–December</w:t>
      </w:r>
      <w:r>
        <w:rPr>
          <w:spacing w:val="-1"/>
        </w:rPr>
        <w:t> </w:t>
      </w:r>
      <w:r>
        <w:rPr/>
        <w:t>2002) Ministry</w:t>
      </w:r>
      <w:r>
        <w:rPr>
          <w:spacing w:val="-4"/>
        </w:rPr>
        <w:t> </w:t>
      </w:r>
      <w:r>
        <w:rPr/>
        <w:t>of</w:t>
      </w:r>
      <w:r>
        <w:rPr>
          <w:spacing w:val="-2"/>
        </w:rPr>
        <w:t> </w:t>
      </w:r>
      <w:r>
        <w:rPr/>
        <w:t>Statistics</w:t>
      </w:r>
      <w:r>
        <w:rPr>
          <w:spacing w:val="-1"/>
        </w:rPr>
        <w:t> </w:t>
      </w:r>
      <w:r>
        <w:rPr/>
        <w:t>and</w:t>
      </w:r>
      <w:r>
        <w:rPr>
          <w:spacing w:val="-1"/>
        </w:rPr>
        <w:t> </w:t>
      </w:r>
      <w:r>
        <w:rPr/>
        <w:t>Programme Implementation,</w:t>
      </w:r>
      <w:r>
        <w:rPr>
          <w:spacing w:val="-57"/>
        </w:rPr>
        <w:t> </w:t>
      </w:r>
      <w:r>
        <w:rPr/>
        <w:t>Government</w:t>
      </w:r>
      <w:r>
        <w:rPr>
          <w:spacing w:val="-1"/>
        </w:rPr>
        <w:t> </w:t>
      </w:r>
      <w:r>
        <w:rPr/>
        <w:t>of</w:t>
      </w:r>
      <w:r>
        <w:rPr>
          <w:spacing w:val="4"/>
        </w:rPr>
        <w:t> </w:t>
      </w:r>
      <w:r>
        <w:rPr/>
        <w:t>India; New Delhi,</w:t>
      </w:r>
      <w:r>
        <w:rPr>
          <w:spacing w:val="2"/>
        </w:rPr>
        <w:t> </w:t>
      </w:r>
      <w:r>
        <w:rPr/>
        <w:t>India: 2003.</w:t>
      </w:r>
    </w:p>
    <w:p>
      <w:pPr>
        <w:pStyle w:val="BodyText"/>
        <w:spacing w:line="242" w:lineRule="auto" w:before="168"/>
        <w:ind w:right="746"/>
      </w:pPr>
      <w:r>
        <w:rPr/>
        <w:t>Neiderud C. J. (2015). How urbanization affects the epidemiology of emerging infectious</w:t>
      </w:r>
      <w:r>
        <w:rPr>
          <w:spacing w:val="1"/>
        </w:rPr>
        <w:t> </w:t>
      </w:r>
      <w:r>
        <w:rPr/>
        <w:t>diseases. Infection</w:t>
      </w:r>
      <w:r>
        <w:rPr>
          <w:spacing w:val="-1"/>
        </w:rPr>
        <w:t> </w:t>
      </w:r>
      <w:r>
        <w:rPr/>
        <w:t>ecology</w:t>
      </w:r>
      <w:r>
        <w:rPr>
          <w:spacing w:val="-4"/>
        </w:rPr>
        <w:t> </w:t>
      </w:r>
      <w:r>
        <w:rPr/>
        <w:t>&amp;</w:t>
      </w:r>
      <w:r>
        <w:rPr>
          <w:spacing w:val="-4"/>
        </w:rPr>
        <w:t> </w:t>
      </w:r>
      <w:r>
        <w:rPr/>
        <w:t>epidemiology,</w:t>
      </w:r>
      <w:r>
        <w:rPr>
          <w:spacing w:val="-1"/>
        </w:rPr>
        <w:t> </w:t>
      </w:r>
      <w:r>
        <w:rPr/>
        <w:t>5,</w:t>
      </w:r>
      <w:r>
        <w:rPr>
          <w:spacing w:val="-1"/>
        </w:rPr>
        <w:t> </w:t>
      </w:r>
      <w:r>
        <w:rPr/>
        <w:t>27060.</w:t>
      </w:r>
      <w:r>
        <w:rPr>
          <w:spacing w:val="-1"/>
        </w:rPr>
        <w:t> </w:t>
      </w:r>
      <w:r>
        <w:rPr/>
        <w:t>https://doi.org/10.3402/iee.v5.27060.</w:t>
      </w:r>
    </w:p>
    <w:p>
      <w:pPr>
        <w:pStyle w:val="BodyText"/>
        <w:spacing w:line="276" w:lineRule="auto" w:before="164"/>
        <w:ind w:right="513"/>
      </w:pPr>
      <w:r>
        <w:rPr>
          <w:color w:val="000000"/>
          <w:shd w:fill="FBFBFB" w:color="auto" w:val="clear"/>
        </w:rPr>
        <w:t>Ogie, R.I., Pradhan, B. Natural Hazards and Social Vulnerability of Place: The Strength-Based</w:t>
      </w:r>
      <w:r>
        <w:rPr>
          <w:color w:val="000000"/>
          <w:spacing w:val="-58"/>
        </w:rPr>
        <w:t> </w:t>
      </w:r>
      <w:r>
        <w:rPr>
          <w:color w:val="000000"/>
          <w:shd w:fill="FBFBFB" w:color="auto" w:val="clear"/>
        </w:rPr>
        <w:t>Approach Applied to Wollongong, Australia. Int J Disaster Risk Sci 10, 404–420 (2019).</w:t>
      </w:r>
      <w:r>
        <w:rPr>
          <w:color w:val="000000"/>
          <w:spacing w:val="1"/>
        </w:rPr>
        <w:t> </w:t>
      </w:r>
      <w:hyperlink r:id="rId18">
        <w:r>
          <w:rPr>
            <w:color w:val="000000"/>
            <w:u w:val="single"/>
            <w:shd w:fill="FBFBFB" w:color="auto" w:val="clear"/>
          </w:rPr>
          <w:t>https://doi.org/10.1007/s13753-019-0224-y</w:t>
        </w:r>
        <w:r>
          <w:rPr>
            <w:color w:val="000000"/>
            <w:shd w:fill="FBFBFB" w:color="auto" w:val="clear"/>
          </w:rPr>
          <w:t>.</w:t>
        </w:r>
      </w:hyperlink>
    </w:p>
    <w:p>
      <w:pPr>
        <w:pStyle w:val="BodyText"/>
        <w:spacing w:line="276" w:lineRule="auto" w:before="199"/>
        <w:ind w:right="524"/>
      </w:pPr>
      <w:r>
        <w:rPr/>
        <w:t>Pastor,</w:t>
      </w:r>
      <w:r>
        <w:rPr>
          <w:spacing w:val="-1"/>
        </w:rPr>
        <w:t> </w:t>
      </w:r>
      <w:r>
        <w:rPr/>
        <w:t>Manuel,</w:t>
      </w:r>
      <w:r>
        <w:rPr>
          <w:spacing w:val="-1"/>
        </w:rPr>
        <w:t> </w:t>
      </w:r>
      <w:r>
        <w:rPr/>
        <w:t>et</w:t>
      </w:r>
      <w:r>
        <w:rPr>
          <w:spacing w:val="-1"/>
        </w:rPr>
        <w:t> </w:t>
      </w:r>
      <w:r>
        <w:rPr/>
        <w:t>al.(2006).</w:t>
      </w:r>
      <w:r>
        <w:rPr>
          <w:spacing w:val="59"/>
        </w:rPr>
        <w:t> </w:t>
      </w:r>
      <w:r>
        <w:rPr/>
        <w:t>In the</w:t>
      </w:r>
      <w:r>
        <w:rPr>
          <w:spacing w:val="-1"/>
        </w:rPr>
        <w:t> </w:t>
      </w:r>
      <w:r>
        <w:rPr/>
        <w:t>Wake</w:t>
      </w:r>
      <w:r>
        <w:rPr>
          <w:spacing w:val="-2"/>
        </w:rPr>
        <w:t> </w:t>
      </w:r>
      <w:r>
        <w:rPr/>
        <w:t>of</w:t>
      </w:r>
      <w:r>
        <w:rPr>
          <w:spacing w:val="-1"/>
        </w:rPr>
        <w:t> </w:t>
      </w:r>
      <w:r>
        <w:rPr/>
        <w:t>the</w:t>
      </w:r>
      <w:r>
        <w:rPr>
          <w:spacing w:val="-1"/>
        </w:rPr>
        <w:t> </w:t>
      </w:r>
      <w:r>
        <w:rPr/>
        <w:t>Storm: Environment,</w:t>
      </w:r>
      <w:r>
        <w:rPr>
          <w:spacing w:val="-1"/>
        </w:rPr>
        <w:t> </w:t>
      </w:r>
      <w:r>
        <w:rPr/>
        <w:t>Disaster</w:t>
      </w:r>
      <w:r>
        <w:rPr>
          <w:spacing w:val="-2"/>
        </w:rPr>
        <w:t> </w:t>
      </w:r>
      <w:r>
        <w:rPr/>
        <w:t>and</w:t>
      </w:r>
      <w:r>
        <w:rPr>
          <w:spacing w:val="-1"/>
        </w:rPr>
        <w:t> </w:t>
      </w:r>
      <w:r>
        <w:rPr/>
        <w:t>Race</w:t>
      </w:r>
      <w:r>
        <w:rPr>
          <w:spacing w:val="-2"/>
        </w:rPr>
        <w:t> </w:t>
      </w:r>
      <w:r>
        <w:rPr/>
        <w:t>After</w:t>
      </w:r>
      <w:r>
        <w:rPr>
          <w:spacing w:val="-57"/>
        </w:rPr>
        <w:t> </w:t>
      </w:r>
      <w:r>
        <w:rPr/>
        <w:t>Katrina.</w:t>
      </w:r>
      <w:r>
        <w:rPr>
          <w:spacing w:val="-2"/>
        </w:rPr>
        <w:t> </w:t>
      </w:r>
      <w:r>
        <w:rPr/>
        <w:t>Russell Sage</w:t>
      </w:r>
      <w:r>
        <w:rPr>
          <w:spacing w:val="-1"/>
        </w:rPr>
        <w:t> </w:t>
      </w:r>
      <w:r>
        <w:rPr/>
        <w:t>Foundation, New York.</w:t>
      </w:r>
    </w:p>
    <w:p>
      <w:pPr>
        <w:pStyle w:val="BodyText"/>
        <w:spacing w:line="276" w:lineRule="auto" w:before="201"/>
        <w:ind w:right="307"/>
      </w:pPr>
      <w:r>
        <w:rPr/>
        <w:t>Pawluch,</w:t>
      </w:r>
      <w:r>
        <w:rPr>
          <w:spacing w:val="-1"/>
        </w:rPr>
        <w:t> </w:t>
      </w:r>
      <w:r>
        <w:rPr/>
        <w:t>Dorothy</w:t>
      </w:r>
      <w:r>
        <w:rPr>
          <w:spacing w:val="-6"/>
        </w:rPr>
        <w:t> </w:t>
      </w:r>
      <w:r>
        <w:rPr/>
        <w:t>(2005). Qualitative</w:t>
      </w:r>
      <w:r>
        <w:rPr>
          <w:spacing w:val="-1"/>
        </w:rPr>
        <w:t> </w:t>
      </w:r>
      <w:r>
        <w:rPr/>
        <w:t>Analysis, Sociology,</w:t>
      </w:r>
      <w:r>
        <w:rPr>
          <w:spacing w:val="-1"/>
        </w:rPr>
        <w:t> </w:t>
      </w:r>
      <w:r>
        <w:rPr/>
        <w:t>Editor(s): Kimberly</w:t>
      </w:r>
      <w:r>
        <w:rPr>
          <w:spacing w:val="-4"/>
        </w:rPr>
        <w:t> </w:t>
      </w:r>
      <w:r>
        <w:rPr/>
        <w:t>Kempf-Leonard,</w:t>
      </w:r>
      <w:r>
        <w:rPr>
          <w:spacing w:val="-57"/>
        </w:rPr>
        <w:t> </w:t>
      </w:r>
      <w:r>
        <w:rPr/>
        <w:t>Encyclopedia</w:t>
      </w:r>
      <w:r>
        <w:rPr>
          <w:spacing w:val="-2"/>
        </w:rPr>
        <w:t> </w:t>
      </w:r>
      <w:r>
        <w:rPr/>
        <w:t>of Social</w:t>
      </w:r>
      <w:r>
        <w:rPr>
          <w:spacing w:val="1"/>
        </w:rPr>
        <w:t> </w:t>
      </w:r>
      <w:r>
        <w:rPr/>
        <w:t>Measurement, Elsevier, Pages 231-236,</w:t>
      </w:r>
      <w:r>
        <w:rPr>
          <w:spacing w:val="1"/>
        </w:rPr>
        <w:t> </w:t>
      </w:r>
      <w:r>
        <w:rPr/>
        <w:t>ISBN 9780123693983,</w:t>
      </w:r>
      <w:r>
        <w:rPr>
          <w:spacing w:val="1"/>
        </w:rPr>
        <w:t> </w:t>
      </w:r>
      <w:hyperlink r:id="rId19">
        <w:r>
          <w:rPr>
            <w:u w:val="single"/>
          </w:rPr>
          <w:t>https://doi.org/10.1016/B0-12-369398-5/00142-0</w:t>
        </w:r>
        <w:r>
          <w:rPr/>
          <w:t>.</w:t>
        </w:r>
      </w:hyperlink>
    </w:p>
    <w:p>
      <w:pPr>
        <w:spacing w:after="0" w:line="276" w:lineRule="auto"/>
        <w:sectPr>
          <w:pgSz w:w="12240" w:h="15840"/>
          <w:pgMar w:top="1360" w:bottom="280" w:left="1220" w:right="1180"/>
        </w:sectPr>
      </w:pPr>
    </w:p>
    <w:p>
      <w:pPr>
        <w:pStyle w:val="BodyText"/>
        <w:spacing w:line="276" w:lineRule="auto" w:before="74"/>
        <w:ind w:right="442"/>
      </w:pPr>
      <w:r>
        <w:rPr/>
        <w:t>Rhodes,</w:t>
      </w:r>
      <w:r>
        <w:rPr>
          <w:spacing w:val="-1"/>
        </w:rPr>
        <w:t> </w:t>
      </w:r>
      <w:r>
        <w:rPr/>
        <w:t>J.,</w:t>
      </w:r>
      <w:r>
        <w:rPr>
          <w:spacing w:val="-1"/>
        </w:rPr>
        <w:t> </w:t>
      </w:r>
      <w:r>
        <w:rPr/>
        <w:t>Chan, C.,</w:t>
      </w:r>
      <w:r>
        <w:rPr>
          <w:spacing w:val="-3"/>
        </w:rPr>
        <w:t> </w:t>
      </w:r>
      <w:r>
        <w:rPr/>
        <w:t>Paxson, C.,</w:t>
      </w:r>
      <w:r>
        <w:rPr>
          <w:spacing w:val="-1"/>
        </w:rPr>
        <w:t> </w:t>
      </w:r>
      <w:r>
        <w:rPr/>
        <w:t>Rouse, C.</w:t>
      </w:r>
      <w:r>
        <w:rPr>
          <w:spacing w:val="-1"/>
        </w:rPr>
        <w:t> </w:t>
      </w:r>
      <w:r>
        <w:rPr/>
        <w:t>E., Waters,</w:t>
      </w:r>
      <w:r>
        <w:rPr>
          <w:spacing w:val="-1"/>
        </w:rPr>
        <w:t> </w:t>
      </w:r>
      <w:r>
        <w:rPr/>
        <w:t>M., &amp;</w:t>
      </w:r>
      <w:r>
        <w:rPr>
          <w:spacing w:val="-1"/>
        </w:rPr>
        <w:t> </w:t>
      </w:r>
      <w:r>
        <w:rPr/>
        <w:t>Fussell,</w:t>
      </w:r>
      <w:r>
        <w:rPr>
          <w:spacing w:val="-1"/>
        </w:rPr>
        <w:t> </w:t>
      </w:r>
      <w:r>
        <w:rPr/>
        <w:t>E. (2010).</w:t>
      </w:r>
      <w:r>
        <w:rPr>
          <w:spacing w:val="-2"/>
        </w:rPr>
        <w:t> </w:t>
      </w:r>
      <w:r>
        <w:rPr/>
        <w:t>The</w:t>
      </w:r>
      <w:r>
        <w:rPr>
          <w:spacing w:val="-2"/>
        </w:rPr>
        <w:t> </w:t>
      </w:r>
      <w:r>
        <w:rPr/>
        <w:t>impact</w:t>
      </w:r>
      <w:r>
        <w:rPr>
          <w:spacing w:val="-1"/>
        </w:rPr>
        <w:t> </w:t>
      </w:r>
      <w:r>
        <w:rPr/>
        <w:t>of</w:t>
      </w:r>
      <w:r>
        <w:rPr>
          <w:spacing w:val="-57"/>
        </w:rPr>
        <w:t> </w:t>
      </w:r>
      <w:r>
        <w:rPr/>
        <w:t>hurricane Katrina on the</w:t>
      </w:r>
      <w:r>
        <w:rPr>
          <w:spacing w:val="1"/>
        </w:rPr>
        <w:t> </w:t>
      </w:r>
      <w:r>
        <w:rPr/>
        <w:t>and physical health of low-income parents in New Orleans. The</w:t>
      </w:r>
      <w:r>
        <w:rPr>
          <w:spacing w:val="1"/>
        </w:rPr>
        <w:t> </w:t>
      </w:r>
      <w:r>
        <w:rPr/>
        <w:t>American journal of orthopsychiatry, 80(2), 237–247. https://doi.org/10.1111/j.1939-</w:t>
      </w:r>
      <w:r>
        <w:rPr>
          <w:spacing w:val="1"/>
        </w:rPr>
        <w:t> </w:t>
      </w:r>
      <w:r>
        <w:rPr/>
        <w:t>0025.2010.01027.</w:t>
      </w:r>
    </w:p>
    <w:p>
      <w:pPr>
        <w:pStyle w:val="BodyText"/>
        <w:spacing w:before="197"/>
        <w:ind w:right="379"/>
      </w:pPr>
      <w:r>
        <w:rPr/>
        <w:t>Rinner, C., Patychuk, D., Jakubek, D., Nasr S., Bassil, K. Development of a Toronto-Specific,</w:t>
      </w:r>
      <w:r>
        <w:rPr>
          <w:spacing w:val="1"/>
        </w:rPr>
        <w:t> </w:t>
      </w:r>
      <w:r>
        <w:rPr/>
        <w:t>Spatially</w:t>
      </w:r>
      <w:r>
        <w:rPr>
          <w:spacing w:val="-7"/>
        </w:rPr>
        <w:t> </w:t>
      </w:r>
      <w:r>
        <w:rPr/>
        <w:t>Explicit</w:t>
      </w:r>
      <w:r>
        <w:rPr>
          <w:spacing w:val="-1"/>
        </w:rPr>
        <w:t> </w:t>
      </w:r>
      <w:r>
        <w:rPr/>
        <w:t>Heat</w:t>
      </w:r>
      <w:r>
        <w:rPr>
          <w:spacing w:val="-1"/>
        </w:rPr>
        <w:t> </w:t>
      </w:r>
      <w:r>
        <w:rPr/>
        <w:t>Vulnerability</w:t>
      </w:r>
      <w:r>
        <w:rPr>
          <w:spacing w:val="-6"/>
        </w:rPr>
        <w:t> </w:t>
      </w:r>
      <w:r>
        <w:rPr/>
        <w:t>Assessment:</w:t>
      </w:r>
      <w:r>
        <w:rPr>
          <w:spacing w:val="1"/>
        </w:rPr>
        <w:t> </w:t>
      </w:r>
      <w:r>
        <w:rPr/>
        <w:t>Phase</w:t>
      </w:r>
      <w:r>
        <w:rPr>
          <w:spacing w:val="-1"/>
        </w:rPr>
        <w:t> </w:t>
      </w:r>
      <w:r>
        <w:rPr/>
        <w:t>I.</w:t>
      </w:r>
      <w:r>
        <w:rPr>
          <w:spacing w:val="3"/>
        </w:rPr>
        <w:t> </w:t>
      </w:r>
      <w:r>
        <w:rPr/>
        <w:t>Toronto</w:t>
      </w:r>
      <w:r>
        <w:rPr>
          <w:spacing w:val="-1"/>
        </w:rPr>
        <w:t> </w:t>
      </w:r>
      <w:r>
        <w:rPr/>
        <w:t>Public</w:t>
      </w:r>
      <w:r>
        <w:rPr>
          <w:spacing w:val="-2"/>
        </w:rPr>
        <w:t> </w:t>
      </w:r>
      <w:r>
        <w:rPr/>
        <w:t>Health;</w:t>
      </w:r>
      <w:r>
        <w:rPr>
          <w:spacing w:val="-1"/>
        </w:rPr>
        <w:t> </w:t>
      </w:r>
      <w:r>
        <w:rPr/>
        <w:t>Toronto,</w:t>
      </w:r>
      <w:r>
        <w:rPr>
          <w:spacing w:val="-2"/>
        </w:rPr>
        <w:t> </w:t>
      </w:r>
      <w:r>
        <w:rPr/>
        <w:t>ON,</w:t>
      </w:r>
      <w:r>
        <w:rPr>
          <w:spacing w:val="-57"/>
        </w:rPr>
        <w:t> </w:t>
      </w:r>
      <w:r>
        <w:rPr/>
        <w:t>Canada:</w:t>
      </w:r>
      <w:r>
        <w:rPr>
          <w:spacing w:val="-1"/>
        </w:rPr>
        <w:t> </w:t>
      </w:r>
      <w:r>
        <w:rPr/>
        <w:t>2009. Final Report.</w:t>
      </w:r>
    </w:p>
    <w:p>
      <w:pPr>
        <w:pStyle w:val="BodyText"/>
        <w:spacing w:before="166"/>
        <w:ind w:right="477"/>
      </w:pPr>
      <w:r>
        <w:rPr/>
        <w:t>Rocque</w:t>
      </w:r>
      <w:r>
        <w:rPr>
          <w:spacing w:val="-3"/>
        </w:rPr>
        <w:t> </w:t>
      </w:r>
      <w:r>
        <w:rPr/>
        <w:t>RJ.,</w:t>
      </w:r>
      <w:r>
        <w:rPr>
          <w:spacing w:val="-1"/>
        </w:rPr>
        <w:t> </w:t>
      </w:r>
      <w:r>
        <w:rPr/>
        <w:t>Beaudoin</w:t>
      </w:r>
      <w:r>
        <w:rPr>
          <w:spacing w:val="-1"/>
        </w:rPr>
        <w:t> </w:t>
      </w:r>
      <w:r>
        <w:rPr/>
        <w:t>C.,</w:t>
      </w:r>
      <w:r>
        <w:rPr>
          <w:spacing w:val="-1"/>
        </w:rPr>
        <w:t> </w:t>
      </w:r>
      <w:r>
        <w:rPr/>
        <w:t>Ndjaboue,</w:t>
      </w:r>
      <w:r>
        <w:rPr>
          <w:spacing w:val="-1"/>
        </w:rPr>
        <w:t> </w:t>
      </w:r>
      <w:r>
        <w:rPr/>
        <w:t>R.</w:t>
      </w:r>
      <w:r>
        <w:rPr>
          <w:i/>
        </w:rPr>
        <w:t>,</w:t>
      </w:r>
      <w:r>
        <w:rPr>
          <w:i/>
          <w:spacing w:val="-1"/>
        </w:rPr>
        <w:t> </w:t>
      </w:r>
      <w:r>
        <w:rPr/>
        <w:t>et</w:t>
      </w:r>
      <w:r>
        <w:rPr>
          <w:spacing w:val="-1"/>
        </w:rPr>
        <w:t> </w:t>
      </w:r>
      <w:r>
        <w:rPr/>
        <w:t>al.</w:t>
      </w:r>
      <w:r>
        <w:rPr>
          <w:spacing w:val="-1"/>
        </w:rPr>
        <w:t> </w:t>
      </w:r>
      <w:r>
        <w:rPr/>
        <w:t>Health</w:t>
      </w:r>
      <w:r>
        <w:rPr>
          <w:spacing w:val="-2"/>
        </w:rPr>
        <w:t> </w:t>
      </w:r>
      <w:r>
        <w:rPr/>
        <w:t>effects</w:t>
      </w:r>
      <w:r>
        <w:rPr>
          <w:spacing w:val="-1"/>
        </w:rPr>
        <w:t> </w:t>
      </w:r>
      <w:r>
        <w:rPr/>
        <w:t>of</w:t>
      </w:r>
      <w:r>
        <w:rPr>
          <w:spacing w:val="1"/>
        </w:rPr>
        <w:t> </w:t>
      </w:r>
      <w:r>
        <w:rPr/>
        <w:t>climate</w:t>
      </w:r>
      <w:r>
        <w:rPr>
          <w:spacing w:val="-2"/>
        </w:rPr>
        <w:t> </w:t>
      </w:r>
      <w:r>
        <w:rPr/>
        <w:t>change:</w:t>
      </w:r>
      <w:r>
        <w:rPr>
          <w:spacing w:val="1"/>
        </w:rPr>
        <w:t> </w:t>
      </w:r>
      <w:r>
        <w:rPr/>
        <w:t>an</w:t>
      </w:r>
      <w:r>
        <w:rPr>
          <w:spacing w:val="-1"/>
        </w:rPr>
        <w:t> </w:t>
      </w:r>
      <w:r>
        <w:rPr/>
        <w:t>overview</w:t>
      </w:r>
      <w:r>
        <w:rPr>
          <w:spacing w:val="-1"/>
        </w:rPr>
        <w:t> </w:t>
      </w:r>
      <w:r>
        <w:rPr/>
        <w:t>of</w:t>
      </w:r>
      <w:r>
        <w:rPr>
          <w:spacing w:val="-57"/>
        </w:rPr>
        <w:t> </w:t>
      </w:r>
      <w:r>
        <w:rPr/>
        <w:t>systematic</w:t>
      </w:r>
      <w:r>
        <w:rPr>
          <w:spacing w:val="-2"/>
        </w:rPr>
        <w:t> </w:t>
      </w:r>
      <w:r>
        <w:rPr/>
        <w:t>reviews.</w:t>
      </w:r>
      <w:r>
        <w:rPr>
          <w:spacing w:val="1"/>
        </w:rPr>
        <w:t> </w:t>
      </w:r>
      <w:r>
        <w:rPr/>
        <w:t>BMJ</w:t>
      </w:r>
      <w:r>
        <w:rPr>
          <w:spacing w:val="1"/>
        </w:rPr>
        <w:t> </w:t>
      </w:r>
      <w:r>
        <w:rPr/>
        <w:t>Open 2021;11</w:t>
      </w:r>
      <w:r>
        <w:rPr>
          <w:b/>
        </w:rPr>
        <w:t>:</w:t>
      </w:r>
      <w:r>
        <w:rPr/>
        <w:t>e046333.</w:t>
      </w:r>
      <w:r>
        <w:rPr>
          <w:spacing w:val="1"/>
        </w:rPr>
        <w:t> </w:t>
      </w:r>
      <w:r>
        <w:rPr/>
        <w:t>doi: 10.1136/bmjopen-2020-046333</w:t>
      </w:r>
    </w:p>
    <w:p>
      <w:pPr>
        <w:pStyle w:val="BodyText"/>
        <w:spacing w:before="2"/>
        <w:ind w:left="0"/>
      </w:pPr>
    </w:p>
    <w:p>
      <w:pPr>
        <w:pStyle w:val="BodyText"/>
        <w:spacing w:line="276" w:lineRule="auto"/>
        <w:ind w:right="362"/>
      </w:pPr>
      <w:r>
        <w:rPr/>
        <w:t>Sahasranaman, A., &amp; Bettencourt, L. (2021). Life between the city and the village: Scaling</w:t>
      </w:r>
      <w:r>
        <w:rPr>
          <w:spacing w:val="1"/>
        </w:rPr>
        <w:t> </w:t>
      </w:r>
      <w:r>
        <w:rPr/>
        <w:t>analysis</w:t>
      </w:r>
      <w:r>
        <w:rPr>
          <w:spacing w:val="-2"/>
        </w:rPr>
        <w:t> </w:t>
      </w:r>
      <w:r>
        <w:rPr/>
        <w:t>of</w:t>
      </w:r>
      <w:r>
        <w:rPr>
          <w:spacing w:val="-2"/>
        </w:rPr>
        <w:t> </w:t>
      </w:r>
      <w:r>
        <w:rPr/>
        <w:t>service</w:t>
      </w:r>
      <w:r>
        <w:rPr>
          <w:spacing w:val="-2"/>
        </w:rPr>
        <w:t> </w:t>
      </w:r>
      <w:r>
        <w:rPr/>
        <w:t>access in Indian</w:t>
      </w:r>
      <w:r>
        <w:rPr>
          <w:spacing w:val="-1"/>
        </w:rPr>
        <w:t> </w:t>
      </w:r>
      <w:r>
        <w:rPr/>
        <w:t>urban</w:t>
      </w:r>
      <w:r>
        <w:rPr>
          <w:spacing w:val="-2"/>
        </w:rPr>
        <w:t> </w:t>
      </w:r>
      <w:r>
        <w:rPr/>
        <w:t>slums, World</w:t>
      </w:r>
      <w:r>
        <w:rPr>
          <w:spacing w:val="-1"/>
        </w:rPr>
        <w:t> </w:t>
      </w:r>
      <w:r>
        <w:rPr/>
        <w:t>Development,</w:t>
      </w:r>
      <w:r>
        <w:rPr>
          <w:spacing w:val="-1"/>
        </w:rPr>
        <w:t> </w:t>
      </w:r>
      <w:r>
        <w:rPr/>
        <w:t>Volume</w:t>
      </w:r>
      <w:r>
        <w:rPr>
          <w:spacing w:val="-1"/>
        </w:rPr>
        <w:t> </w:t>
      </w:r>
      <w:r>
        <w:rPr/>
        <w:t>142, ISSN</w:t>
      </w:r>
      <w:r>
        <w:rPr>
          <w:spacing w:val="-2"/>
        </w:rPr>
        <w:t> </w:t>
      </w:r>
      <w:r>
        <w:rPr/>
        <w:t>0305-</w:t>
      </w:r>
      <w:r>
        <w:rPr>
          <w:spacing w:val="-57"/>
        </w:rPr>
        <w:t> </w:t>
      </w:r>
      <w:r>
        <w:rPr/>
        <w:t>750X,</w:t>
      </w:r>
      <w:r>
        <w:rPr>
          <w:spacing w:val="-2"/>
        </w:rPr>
        <w:t> </w:t>
      </w:r>
      <w:r>
        <w:rPr/>
        <w:t>https://doi.org/10.1016/j.worlddev.2021.105435.</w:t>
      </w:r>
    </w:p>
    <w:p>
      <w:pPr>
        <w:pStyle w:val="BodyText"/>
        <w:spacing w:line="278" w:lineRule="auto" w:before="201"/>
        <w:ind w:right="701"/>
      </w:pPr>
      <w:r>
        <w:rPr/>
        <w:t>Schwartz, R. M., Tuminello, S., Kerath, S. M., Rios, J., Lieberman-Cribbin, W., &amp; Taioli, E.</w:t>
      </w:r>
      <w:r>
        <w:rPr>
          <w:spacing w:val="-57"/>
        </w:rPr>
        <w:t> </w:t>
      </w:r>
      <w:r>
        <w:rPr/>
        <w:t>(2018).</w:t>
      </w:r>
      <w:r>
        <w:rPr>
          <w:spacing w:val="-1"/>
        </w:rPr>
        <w:t> </w:t>
      </w:r>
      <w:r>
        <w:rPr/>
        <w:t>Preliminary</w:t>
      </w:r>
      <w:r>
        <w:rPr>
          <w:spacing w:val="-5"/>
        </w:rPr>
        <w:t> </w:t>
      </w:r>
      <w:r>
        <w:rPr/>
        <w:t>Assessment of Hurricane</w:t>
      </w:r>
      <w:r>
        <w:rPr>
          <w:spacing w:val="-1"/>
        </w:rPr>
        <w:t> </w:t>
      </w:r>
      <w:r>
        <w:rPr/>
        <w:t>Harvey</w:t>
      </w:r>
      <w:r>
        <w:rPr>
          <w:spacing w:val="-2"/>
        </w:rPr>
        <w:t> </w:t>
      </w:r>
      <w:r>
        <w:rPr/>
        <w:t>Exposures and</w:t>
      </w:r>
      <w:r>
        <w:rPr>
          <w:spacing w:val="2"/>
        </w:rPr>
        <w:t> </w:t>
      </w:r>
      <w:r>
        <w:rPr/>
        <w:t>Health</w:t>
      </w:r>
    </w:p>
    <w:p>
      <w:pPr>
        <w:pStyle w:val="BodyText"/>
        <w:spacing w:line="276" w:lineRule="auto"/>
        <w:ind w:right="2042"/>
      </w:pPr>
      <w:r>
        <w:rPr/>
        <w:t>Impact. International journal of environ research and public health, 15(5), 974.</w:t>
      </w:r>
      <w:r>
        <w:rPr>
          <w:spacing w:val="-57"/>
        </w:rPr>
        <w:t> </w:t>
      </w:r>
      <w:r>
        <w:rPr/>
        <w:t>https://doi.org/10.3390/ijerph15050974</w:t>
      </w:r>
    </w:p>
    <w:p>
      <w:pPr>
        <w:pStyle w:val="BodyText"/>
        <w:spacing w:line="276" w:lineRule="auto" w:before="196"/>
        <w:ind w:right="450"/>
      </w:pPr>
      <w:r>
        <w:rPr/>
        <w:t>Sibbald,</w:t>
      </w:r>
      <w:r>
        <w:rPr>
          <w:spacing w:val="-2"/>
        </w:rPr>
        <w:t> </w:t>
      </w:r>
      <w:r>
        <w:rPr/>
        <w:t>S.</w:t>
      </w:r>
      <w:r>
        <w:rPr>
          <w:spacing w:val="-1"/>
        </w:rPr>
        <w:t> </w:t>
      </w:r>
      <w:r>
        <w:rPr/>
        <w:t>L.,</w:t>
      </w:r>
      <w:r>
        <w:rPr>
          <w:spacing w:val="-1"/>
        </w:rPr>
        <w:t> </w:t>
      </w:r>
      <w:r>
        <w:rPr/>
        <w:t>Paciocco,</w:t>
      </w:r>
      <w:r>
        <w:rPr>
          <w:spacing w:val="1"/>
        </w:rPr>
        <w:t> </w:t>
      </w:r>
      <w:r>
        <w:rPr/>
        <w:t>S.,</w:t>
      </w:r>
      <w:r>
        <w:rPr>
          <w:spacing w:val="-2"/>
        </w:rPr>
        <w:t> </w:t>
      </w:r>
      <w:r>
        <w:rPr/>
        <w:t>Fournie,</w:t>
      </w:r>
      <w:r>
        <w:rPr>
          <w:spacing w:val="-1"/>
        </w:rPr>
        <w:t> </w:t>
      </w:r>
      <w:r>
        <w:rPr/>
        <w:t>M.,</w:t>
      </w:r>
      <w:r>
        <w:rPr>
          <w:spacing w:val="-1"/>
        </w:rPr>
        <w:t> </w:t>
      </w:r>
      <w:r>
        <w:rPr/>
        <w:t>Van</w:t>
      </w:r>
      <w:r>
        <w:rPr>
          <w:spacing w:val="1"/>
        </w:rPr>
        <w:t> </w:t>
      </w:r>
      <w:r>
        <w:rPr/>
        <w:t>Asseldonk,</w:t>
      </w:r>
      <w:r>
        <w:rPr>
          <w:spacing w:val="-1"/>
        </w:rPr>
        <w:t> </w:t>
      </w:r>
      <w:r>
        <w:rPr/>
        <w:t>R.,</w:t>
      </w:r>
      <w:r>
        <w:rPr>
          <w:spacing w:val="-2"/>
        </w:rPr>
        <w:t> </w:t>
      </w:r>
      <w:r>
        <w:rPr/>
        <w:t>&amp;</w:t>
      </w:r>
      <w:r>
        <w:rPr>
          <w:spacing w:val="-3"/>
        </w:rPr>
        <w:t> </w:t>
      </w:r>
      <w:r>
        <w:rPr/>
        <w:t>Scurr,</w:t>
      </w:r>
      <w:r>
        <w:rPr>
          <w:spacing w:val="-1"/>
        </w:rPr>
        <w:t> </w:t>
      </w:r>
      <w:r>
        <w:rPr/>
        <w:t>T.</w:t>
      </w:r>
      <w:r>
        <w:rPr>
          <w:spacing w:val="1"/>
        </w:rPr>
        <w:t> </w:t>
      </w:r>
      <w:r>
        <w:rPr/>
        <w:t>(2021).</w:t>
      </w:r>
      <w:r>
        <w:rPr>
          <w:spacing w:val="-1"/>
        </w:rPr>
        <w:t> </w:t>
      </w:r>
      <w:r>
        <w:rPr/>
        <w:t>Continuing</w:t>
      </w:r>
      <w:r>
        <w:rPr>
          <w:spacing w:val="-4"/>
        </w:rPr>
        <w:t> </w:t>
      </w:r>
      <w:r>
        <w:rPr/>
        <w:t>to</w:t>
      </w:r>
      <w:r>
        <w:rPr>
          <w:spacing w:val="-57"/>
        </w:rPr>
        <w:t> </w:t>
      </w:r>
      <w:r>
        <w:rPr/>
        <w:t>enhance the quality of case study methodology in health services research. </w:t>
      </w:r>
      <w:r>
        <w:rPr>
          <w:i/>
        </w:rPr>
        <w:t>Healthcare</w:t>
      </w:r>
      <w:r>
        <w:rPr>
          <w:i/>
          <w:spacing w:val="1"/>
        </w:rPr>
        <w:t> </w:t>
      </w:r>
      <w:r>
        <w:rPr>
          <w:i/>
        </w:rPr>
        <w:t>Management</w:t>
      </w:r>
      <w:r>
        <w:rPr>
          <w:i/>
          <w:spacing w:val="-1"/>
        </w:rPr>
        <w:t> </w:t>
      </w:r>
      <w:r>
        <w:rPr>
          <w:i/>
        </w:rPr>
        <w:t>Forum</w:t>
      </w:r>
      <w:r>
        <w:rPr/>
        <w:t>, </w:t>
      </w:r>
      <w:r>
        <w:rPr>
          <w:i/>
        </w:rPr>
        <w:t>34</w:t>
      </w:r>
      <w:r>
        <w:rPr/>
        <w:t>(5), 291–296. </w:t>
      </w:r>
      <w:hyperlink r:id="rId20">
        <w:r>
          <w:rPr/>
          <w:t>https://doi.org/10.1177/08404704211028857</w:t>
        </w:r>
      </w:hyperlink>
      <w:r>
        <w:rPr/>
        <w:t>.</w:t>
      </w:r>
    </w:p>
    <w:p>
      <w:pPr>
        <w:pStyle w:val="BodyText"/>
        <w:spacing w:line="276" w:lineRule="auto" w:before="200"/>
        <w:ind w:right="396"/>
      </w:pPr>
      <w:r>
        <w:rPr/>
        <w:t>Smit,</w:t>
      </w:r>
      <w:r>
        <w:rPr>
          <w:spacing w:val="59"/>
        </w:rPr>
        <w:t> </w:t>
      </w:r>
      <w:r>
        <w:rPr/>
        <w:t>B.,</w:t>
      </w:r>
      <w:r>
        <w:rPr>
          <w:spacing w:val="-1"/>
        </w:rPr>
        <w:t> </w:t>
      </w:r>
      <w:r>
        <w:rPr/>
        <w:t>&amp;</w:t>
      </w:r>
      <w:r>
        <w:rPr>
          <w:spacing w:val="-2"/>
        </w:rPr>
        <w:t> </w:t>
      </w:r>
      <w:r>
        <w:rPr/>
        <w:t>Wandel, J.</w:t>
      </w:r>
      <w:r>
        <w:rPr>
          <w:spacing w:val="-1"/>
        </w:rPr>
        <w:t> </w:t>
      </w:r>
      <w:r>
        <w:rPr/>
        <w:t>(2006). Adaptation,</w:t>
      </w:r>
      <w:r>
        <w:rPr>
          <w:spacing w:val="-1"/>
        </w:rPr>
        <w:t> </w:t>
      </w:r>
      <w:r>
        <w:rPr/>
        <w:t>adaptive</w:t>
      </w:r>
      <w:r>
        <w:rPr>
          <w:spacing w:val="-1"/>
        </w:rPr>
        <w:t> </w:t>
      </w:r>
      <w:r>
        <w:rPr/>
        <w:t>capacity</w:t>
      </w:r>
      <w:r>
        <w:rPr>
          <w:spacing w:val="-5"/>
        </w:rPr>
        <w:t> </w:t>
      </w:r>
      <w:r>
        <w:rPr/>
        <w:t>and</w:t>
      </w:r>
      <w:r>
        <w:rPr>
          <w:spacing w:val="-1"/>
        </w:rPr>
        <w:t> </w:t>
      </w:r>
      <w:r>
        <w:rPr/>
        <w:t>vulnerability. Global</w:t>
      </w:r>
      <w:r>
        <w:rPr>
          <w:spacing w:val="-1"/>
        </w:rPr>
        <w:t> </w:t>
      </w:r>
      <w:r>
        <w:rPr/>
        <w:t>Environ</w:t>
      </w:r>
      <w:r>
        <w:rPr>
          <w:spacing w:val="-57"/>
        </w:rPr>
        <w:t> </w:t>
      </w:r>
      <w:r>
        <w:rPr/>
        <w:t>Change</w:t>
      </w:r>
      <w:r>
        <w:rPr>
          <w:spacing w:val="-2"/>
        </w:rPr>
        <w:t> </w:t>
      </w:r>
      <w:r>
        <w:rPr/>
        <w:t>16; 282–292. ELSEVIER.</w:t>
      </w:r>
    </w:p>
    <w:p>
      <w:pPr>
        <w:pStyle w:val="BodyText"/>
        <w:spacing w:line="276" w:lineRule="auto" w:before="201"/>
        <w:ind w:right="368"/>
      </w:pPr>
      <w:r>
        <w:rPr/>
        <w:t>Thomas K, Hardy RD, Lazrus H, Mendez M, Orlove B, Rivera-Collazo I, Roberts JT, Rockman</w:t>
      </w:r>
      <w:r>
        <w:rPr>
          <w:spacing w:val="-57"/>
        </w:rPr>
        <w:t> </w:t>
      </w:r>
      <w:r>
        <w:rPr/>
        <w:t>M, Warner BP, Winthrop R. Explaining differential vulnerability to climate change: A social</w:t>
      </w:r>
      <w:r>
        <w:rPr>
          <w:spacing w:val="1"/>
        </w:rPr>
        <w:t> </w:t>
      </w:r>
      <w:r>
        <w:rPr/>
        <w:t>science review. Wiley Interdiscip Rev Clim Change. (2019). Mar-Apr;10(2):e565. doi:</w:t>
      </w:r>
      <w:r>
        <w:rPr>
          <w:spacing w:val="1"/>
        </w:rPr>
        <w:t> </w:t>
      </w:r>
      <w:r>
        <w:rPr/>
        <w:t>10.1002/wcc.565.</w:t>
      </w:r>
      <w:r>
        <w:rPr>
          <w:spacing w:val="-1"/>
        </w:rPr>
        <w:t> </w:t>
      </w:r>
      <w:r>
        <w:rPr/>
        <w:t>Epub</w:t>
      </w:r>
      <w:r>
        <w:rPr>
          <w:spacing w:val="1"/>
        </w:rPr>
        <w:t> </w:t>
      </w:r>
      <w:r>
        <w:rPr/>
        <w:t>2018 Dec</w:t>
      </w:r>
      <w:r>
        <w:rPr>
          <w:spacing w:val="-1"/>
        </w:rPr>
        <w:t> </w:t>
      </w:r>
      <w:r>
        <w:rPr/>
        <w:t>7.</w:t>
      </w:r>
      <w:r>
        <w:rPr>
          <w:spacing w:val="-1"/>
        </w:rPr>
        <w:t> </w:t>
      </w:r>
      <w:r>
        <w:rPr/>
        <w:t>PMID: 31007726; PMCID: PMC6472565.</w:t>
      </w:r>
    </w:p>
    <w:p>
      <w:pPr>
        <w:pStyle w:val="BodyText"/>
        <w:spacing w:line="276" w:lineRule="auto" w:before="199"/>
        <w:ind w:right="395"/>
      </w:pPr>
      <w:r>
        <w:rPr/>
        <w:t>Tran, K. V., Azhar, G. S., Nair, R., Knowlton, K., Jaiswal, A., Sheffield, P., Mavalankar, D., &amp;</w:t>
      </w:r>
      <w:r>
        <w:rPr>
          <w:spacing w:val="1"/>
        </w:rPr>
        <w:t> </w:t>
      </w:r>
      <w:r>
        <w:rPr/>
        <w:t>Hess, J. (2013). A cross-sectional, randomized cluster sample survey of household vulnerability</w:t>
      </w:r>
      <w:r>
        <w:rPr>
          <w:spacing w:val="-57"/>
        </w:rPr>
        <w:t> </w:t>
      </w:r>
      <w:r>
        <w:rPr/>
        <w:t>to extreme heat among slum dwellers in ahmedabad, india. International journal of environ</w:t>
      </w:r>
      <w:r>
        <w:rPr>
          <w:spacing w:val="1"/>
        </w:rPr>
        <w:t> </w:t>
      </w:r>
      <w:r>
        <w:rPr/>
        <w:t>research</w:t>
      </w:r>
      <w:r>
        <w:rPr>
          <w:spacing w:val="-1"/>
        </w:rPr>
        <w:t> </w:t>
      </w:r>
      <w:r>
        <w:rPr/>
        <w:t>and public</w:t>
      </w:r>
      <w:r>
        <w:rPr>
          <w:spacing w:val="-2"/>
        </w:rPr>
        <w:t> </w:t>
      </w:r>
      <w:r>
        <w:rPr/>
        <w:t>health, 10(6),</w:t>
      </w:r>
      <w:r>
        <w:rPr>
          <w:spacing w:val="-1"/>
        </w:rPr>
        <w:t> </w:t>
      </w:r>
      <w:r>
        <w:rPr/>
        <w:t>2515–2543. https://doi.org/10.3390/ijerph10062515</w:t>
      </w:r>
    </w:p>
    <w:p>
      <w:pPr>
        <w:pStyle w:val="BodyText"/>
        <w:spacing w:line="276" w:lineRule="auto" w:before="200"/>
        <w:ind w:right="270"/>
        <w:jc w:val="both"/>
      </w:pPr>
      <w:r>
        <w:rPr/>
        <w:t>Twinomuhangi, R., Sseviiri, H.,</w:t>
      </w:r>
      <w:r>
        <w:rPr>
          <w:spacing w:val="1"/>
        </w:rPr>
        <w:t> </w:t>
      </w:r>
      <w:r>
        <w:rPr/>
        <w:t>Mulinde, C.,</w:t>
      </w:r>
      <w:r>
        <w:rPr>
          <w:spacing w:val="1"/>
        </w:rPr>
        <w:t> </w:t>
      </w:r>
      <w:r>
        <w:rPr/>
        <w:t>Mukwaya, P.,</w:t>
      </w:r>
      <w:r>
        <w:rPr>
          <w:spacing w:val="1"/>
        </w:rPr>
        <w:t> </w:t>
      </w:r>
      <w:r>
        <w:rPr/>
        <w:t>Nimusiima, A., &amp; Kato, A. (2021).</w:t>
      </w:r>
      <w:r>
        <w:rPr>
          <w:spacing w:val="-57"/>
        </w:rPr>
        <w:t> </w:t>
      </w:r>
      <w:r>
        <w:rPr/>
        <w:t>Perceptions and vulnerability to climate change among the urban poor in Kampala City, Uganda.</w:t>
      </w:r>
      <w:r>
        <w:rPr>
          <w:spacing w:val="-57"/>
        </w:rPr>
        <w:t> </w:t>
      </w:r>
      <w:r>
        <w:rPr/>
        <w:t>Regional</w:t>
      </w:r>
      <w:r>
        <w:rPr>
          <w:spacing w:val="-1"/>
        </w:rPr>
        <w:t> </w:t>
      </w:r>
      <w:r>
        <w:rPr/>
        <w:t>Environ Change. 21. 10.1007/s10113-021-01771-5.</w:t>
      </w:r>
    </w:p>
    <w:p>
      <w:pPr>
        <w:pStyle w:val="BodyText"/>
        <w:spacing w:line="276" w:lineRule="auto" w:before="200"/>
        <w:ind w:right="422"/>
      </w:pPr>
      <w:r>
        <w:rPr/>
        <w:t>UN Department of Economic and Social Affairs . United Nations; Geneva: 2018. 2018 revision</w:t>
      </w:r>
      <w:r>
        <w:rPr>
          <w:spacing w:val="-57"/>
        </w:rPr>
        <w:t> </w:t>
      </w:r>
      <w:r>
        <w:rPr/>
        <w:t>of</w:t>
      </w:r>
      <w:r>
        <w:rPr>
          <w:spacing w:val="-2"/>
        </w:rPr>
        <w:t> </w:t>
      </w:r>
      <w:r>
        <w:rPr/>
        <w:t>world urbanization prospects.</w:t>
      </w:r>
    </w:p>
    <w:p>
      <w:pPr>
        <w:spacing w:after="0" w:line="276" w:lineRule="auto"/>
        <w:sectPr>
          <w:pgSz w:w="12240" w:h="15840"/>
          <w:pgMar w:top="1360" w:bottom="280" w:left="1220" w:right="1180"/>
        </w:sectPr>
      </w:pPr>
    </w:p>
    <w:p>
      <w:pPr>
        <w:pStyle w:val="BodyText"/>
        <w:spacing w:before="72"/>
        <w:ind w:right="943"/>
        <w:jc w:val="both"/>
      </w:pPr>
      <w:r>
        <w:rPr/>
        <w:t>Ursano, R. J., McKibben, J. B. A., Reissman, D. B., Liu, X., Wang, L., Sampson, R. J., &amp;</w:t>
      </w:r>
      <w:r>
        <w:rPr>
          <w:spacing w:val="1"/>
        </w:rPr>
        <w:t> </w:t>
      </w:r>
      <w:r>
        <w:rPr/>
        <w:t>Fullerton,</w:t>
      </w:r>
      <w:r>
        <w:rPr>
          <w:spacing w:val="-2"/>
        </w:rPr>
        <w:t> </w:t>
      </w:r>
      <w:r>
        <w:rPr/>
        <w:t>C.</w:t>
      </w:r>
      <w:r>
        <w:rPr>
          <w:spacing w:val="-1"/>
        </w:rPr>
        <w:t> </w:t>
      </w:r>
      <w:r>
        <w:rPr/>
        <w:t>S.</w:t>
      </w:r>
      <w:r>
        <w:rPr>
          <w:spacing w:val="-1"/>
        </w:rPr>
        <w:t> </w:t>
      </w:r>
      <w:r>
        <w:rPr/>
        <w:t>(2014).</w:t>
      </w:r>
      <w:r>
        <w:rPr>
          <w:spacing w:val="-1"/>
        </w:rPr>
        <w:t> </w:t>
      </w:r>
      <w:r>
        <w:rPr/>
        <w:t>Posttraumatic</w:t>
      </w:r>
      <w:r>
        <w:rPr>
          <w:spacing w:val="-1"/>
        </w:rPr>
        <w:t> </w:t>
      </w:r>
      <w:r>
        <w:rPr/>
        <w:t>Stress</w:t>
      </w:r>
      <w:r>
        <w:rPr>
          <w:spacing w:val="-1"/>
        </w:rPr>
        <w:t> </w:t>
      </w:r>
      <w:r>
        <w:rPr/>
        <w:t>Disorder</w:t>
      </w:r>
      <w:r>
        <w:rPr>
          <w:spacing w:val="-1"/>
        </w:rPr>
        <w:t> </w:t>
      </w:r>
      <w:r>
        <w:rPr/>
        <w:t>and</w:t>
      </w:r>
      <w:r>
        <w:rPr>
          <w:spacing w:val="-1"/>
        </w:rPr>
        <w:t> </w:t>
      </w:r>
      <w:r>
        <w:rPr/>
        <w:t>Community</w:t>
      </w:r>
      <w:r>
        <w:rPr>
          <w:spacing w:val="-6"/>
        </w:rPr>
        <w:t> </w:t>
      </w:r>
      <w:r>
        <w:rPr/>
        <w:t>Collective</w:t>
      </w:r>
      <w:r>
        <w:rPr>
          <w:spacing w:val="-2"/>
        </w:rPr>
        <w:t> </w:t>
      </w:r>
      <w:r>
        <w:rPr/>
        <w:t>Efficacy</w:t>
      </w:r>
      <w:r>
        <w:rPr>
          <w:spacing w:val="-57"/>
        </w:rPr>
        <w:t> </w:t>
      </w:r>
      <w:r>
        <w:rPr/>
        <w:t>following</w:t>
      </w:r>
      <w:r>
        <w:rPr>
          <w:spacing w:val="-4"/>
        </w:rPr>
        <w:t> </w:t>
      </w:r>
      <w:r>
        <w:rPr/>
        <w:t>the 2004</w:t>
      </w:r>
      <w:r>
        <w:rPr>
          <w:spacing w:val="1"/>
        </w:rPr>
        <w:t> </w:t>
      </w:r>
      <w:r>
        <w:rPr/>
        <w:t>Florida</w:t>
      </w:r>
      <w:r>
        <w:rPr>
          <w:spacing w:val="-1"/>
        </w:rPr>
        <w:t> </w:t>
      </w:r>
      <w:r>
        <w:rPr/>
        <w:t>Hurricanes.</w:t>
      </w:r>
      <w:r>
        <w:rPr>
          <w:spacing w:val="1"/>
        </w:rPr>
        <w:t> </w:t>
      </w:r>
      <w:r>
        <w:rPr/>
        <w:t>PLoS ONE, 9(2),</w:t>
      </w:r>
      <w:r>
        <w:rPr>
          <w:spacing w:val="-1"/>
        </w:rPr>
        <w:t> </w:t>
      </w:r>
      <w:r>
        <w:rPr/>
        <w:t>e88467.</w:t>
      </w:r>
    </w:p>
    <w:p>
      <w:pPr>
        <w:pStyle w:val="BodyText"/>
        <w:ind w:left="0"/>
      </w:pPr>
    </w:p>
    <w:p>
      <w:pPr>
        <w:pStyle w:val="BodyText"/>
        <w:ind w:right="768"/>
      </w:pPr>
      <w:r>
        <w:rPr/>
        <w:t>Van Dinther, R., Ovink, H. (2021). The Five Pillars of Climate Resilience Climate Resilient</w:t>
      </w:r>
      <w:r>
        <w:rPr>
          <w:spacing w:val="-57"/>
        </w:rPr>
        <w:t> </w:t>
      </w:r>
      <w:r>
        <w:rPr/>
        <w:t>Urban</w:t>
      </w:r>
      <w:r>
        <w:rPr>
          <w:spacing w:val="-1"/>
        </w:rPr>
        <w:t> </w:t>
      </w:r>
      <w:r>
        <w:rPr/>
        <w:t>Areas.</w:t>
      </w:r>
      <w:r>
        <w:rPr>
          <w:spacing w:val="2"/>
        </w:rPr>
        <w:t> </w:t>
      </w:r>
      <w:r>
        <w:rPr/>
        <w:t>ISBN: 978-3-030-57536-6.</w:t>
      </w:r>
    </w:p>
    <w:p>
      <w:pPr>
        <w:pStyle w:val="BodyText"/>
        <w:spacing w:before="5"/>
        <w:ind w:left="0"/>
      </w:pPr>
    </w:p>
    <w:p>
      <w:pPr>
        <w:pStyle w:val="BodyText"/>
        <w:ind w:right="379"/>
      </w:pPr>
      <w:r>
        <w:rPr/>
        <w:t>Wang,</w:t>
      </w:r>
      <w:r>
        <w:rPr>
          <w:spacing w:val="-3"/>
        </w:rPr>
        <w:t> </w:t>
      </w:r>
      <w:r>
        <w:rPr/>
        <w:t>J.</w:t>
      </w:r>
      <w:r>
        <w:rPr>
          <w:spacing w:val="-2"/>
        </w:rPr>
        <w:t> </w:t>
      </w:r>
      <w:r>
        <w:rPr/>
        <w:t>(2015).</w:t>
      </w:r>
      <w:r>
        <w:rPr>
          <w:spacing w:val="-2"/>
        </w:rPr>
        <w:t> </w:t>
      </w:r>
      <w:r>
        <w:rPr/>
        <w:t>Exposure-Response</w:t>
      </w:r>
      <w:r>
        <w:rPr>
          <w:spacing w:val="-2"/>
        </w:rPr>
        <w:t> </w:t>
      </w:r>
      <w:r>
        <w:rPr/>
        <w:t>Modeling</w:t>
      </w:r>
      <w:r>
        <w:rPr>
          <w:spacing w:val="-5"/>
        </w:rPr>
        <w:t> </w:t>
      </w:r>
      <w:r>
        <w:rPr/>
        <w:t>: Methods</w:t>
      </w:r>
      <w:r>
        <w:rPr>
          <w:spacing w:val="-2"/>
        </w:rPr>
        <w:t> </w:t>
      </w:r>
      <w:r>
        <w:rPr/>
        <w:t>and</w:t>
      </w:r>
      <w:r>
        <w:rPr>
          <w:spacing w:val="-2"/>
        </w:rPr>
        <w:t> </w:t>
      </w:r>
      <w:r>
        <w:rPr/>
        <w:t>Practical</w:t>
      </w:r>
      <w:r>
        <w:rPr>
          <w:spacing w:val="3"/>
        </w:rPr>
        <w:t> </w:t>
      </w:r>
      <w:r>
        <w:rPr/>
        <w:t>Implementation.</w:t>
      </w:r>
      <w:r>
        <w:rPr>
          <w:spacing w:val="-2"/>
        </w:rPr>
        <w:t> </w:t>
      </w:r>
      <w:r>
        <w:rPr/>
        <w:t>Taylor</w:t>
      </w:r>
      <w:r>
        <w:rPr>
          <w:spacing w:val="-57"/>
        </w:rPr>
        <w:t> </w:t>
      </w:r>
      <w:r>
        <w:rPr/>
        <w:t>and</w:t>
      </w:r>
      <w:r>
        <w:rPr>
          <w:spacing w:val="-1"/>
        </w:rPr>
        <w:t> </w:t>
      </w:r>
      <w:r>
        <w:rPr/>
        <w:t>Francis Group;</w:t>
      </w:r>
      <w:r>
        <w:rPr>
          <w:spacing w:val="2"/>
        </w:rPr>
        <w:t> </w:t>
      </w:r>
      <w:r>
        <w:rPr/>
        <w:t>ISBN13 9781466573208.</w:t>
      </w:r>
    </w:p>
    <w:p>
      <w:pPr>
        <w:pStyle w:val="BodyText"/>
        <w:spacing w:before="5"/>
        <w:ind w:left="0"/>
      </w:pPr>
    </w:p>
    <w:p>
      <w:pPr>
        <w:pStyle w:val="BodyText"/>
        <w:spacing w:line="276" w:lineRule="auto"/>
        <w:ind w:right="569"/>
        <w:jc w:val="both"/>
      </w:pPr>
      <w:r>
        <w:rPr/>
        <w:t>W.H. White, J.A. Anderson, D.L. Blumenthal, R.B. Husar, N.V. Gilani, J.D.W.E.E. Husar Jr.</w:t>
      </w:r>
      <w:r>
        <w:rPr>
          <w:spacing w:val="1"/>
        </w:rPr>
        <w:t> </w:t>
      </w:r>
      <w:r>
        <w:rPr/>
        <w:t>(1976).</w:t>
      </w:r>
      <w:r>
        <w:rPr>
          <w:spacing w:val="-1"/>
        </w:rPr>
        <w:t> </w:t>
      </w:r>
      <w:r>
        <w:rPr/>
        <w:t>Formation</w:t>
      </w:r>
      <w:r>
        <w:rPr>
          <w:spacing w:val="-1"/>
        </w:rPr>
        <w:t> </w:t>
      </w:r>
      <w:r>
        <w:rPr/>
        <w:t>and</w:t>
      </w:r>
      <w:r>
        <w:rPr>
          <w:spacing w:val="-1"/>
        </w:rPr>
        <w:t> </w:t>
      </w:r>
      <w:r>
        <w:rPr/>
        <w:t>transport of</w:t>
      </w:r>
      <w:r>
        <w:rPr>
          <w:spacing w:val="-2"/>
        </w:rPr>
        <w:t> </w:t>
      </w:r>
      <w:r>
        <w:rPr/>
        <w:t>secondary</w:t>
      </w:r>
      <w:r>
        <w:rPr>
          <w:spacing w:val="-4"/>
        </w:rPr>
        <w:t> </w:t>
      </w:r>
      <w:r>
        <w:rPr/>
        <w:t>air</w:t>
      </w:r>
      <w:r>
        <w:rPr>
          <w:spacing w:val="1"/>
        </w:rPr>
        <w:t> </w:t>
      </w:r>
      <w:r>
        <w:rPr/>
        <w:t>pollutants:</w:t>
      </w:r>
      <w:r>
        <w:rPr>
          <w:spacing w:val="-1"/>
        </w:rPr>
        <w:t> </w:t>
      </w:r>
      <w:r>
        <w:rPr/>
        <w:t>ozone</w:t>
      </w:r>
      <w:r>
        <w:rPr>
          <w:spacing w:val="-2"/>
        </w:rPr>
        <w:t> </w:t>
      </w:r>
      <w:r>
        <w:rPr/>
        <w:t>and</w:t>
      </w:r>
      <w:r>
        <w:rPr>
          <w:spacing w:val="-1"/>
        </w:rPr>
        <w:t> </w:t>
      </w:r>
      <w:r>
        <w:rPr/>
        <w:t>aerosols in</w:t>
      </w:r>
      <w:r>
        <w:rPr>
          <w:spacing w:val="-1"/>
        </w:rPr>
        <w:t> </w:t>
      </w:r>
      <w:r>
        <w:rPr/>
        <w:t>the</w:t>
      </w:r>
      <w:r>
        <w:rPr>
          <w:spacing w:val="-2"/>
        </w:rPr>
        <w:t> </w:t>
      </w:r>
      <w:r>
        <w:rPr/>
        <w:t>St.</w:t>
      </w:r>
      <w:r>
        <w:rPr>
          <w:spacing w:val="-1"/>
        </w:rPr>
        <w:t> </w:t>
      </w:r>
      <w:r>
        <w:rPr/>
        <w:t>Luis</w:t>
      </w:r>
      <w:r>
        <w:rPr>
          <w:spacing w:val="-57"/>
        </w:rPr>
        <w:t> </w:t>
      </w:r>
      <w:r>
        <w:rPr/>
        <w:t>urban</w:t>
      </w:r>
      <w:r>
        <w:rPr>
          <w:spacing w:val="-1"/>
        </w:rPr>
        <w:t> </w:t>
      </w:r>
      <w:r>
        <w:rPr/>
        <w:t>plume. Science, 194, pp. 187-189.</w:t>
      </w:r>
    </w:p>
    <w:p>
      <w:pPr>
        <w:pStyle w:val="BodyText"/>
        <w:spacing w:before="9"/>
        <w:ind w:left="0"/>
        <w:rPr>
          <w:sz w:val="20"/>
        </w:rPr>
      </w:pPr>
    </w:p>
    <w:p>
      <w:pPr>
        <w:pStyle w:val="BodyText"/>
        <w:spacing w:line="278" w:lineRule="auto"/>
        <w:ind w:right="834"/>
      </w:pPr>
      <w:r>
        <w:rPr/>
        <w:t>Yin, R. K. (2009). Case study research: design and methods (4th ed.). Thousand Oaks, CA:</w:t>
      </w:r>
      <w:r>
        <w:rPr>
          <w:spacing w:val="-58"/>
        </w:rPr>
        <w:t> </w:t>
      </w:r>
      <w:r>
        <w:rPr/>
        <w:t>SAGE</w:t>
      </w:r>
      <w:r>
        <w:rPr>
          <w:spacing w:val="-1"/>
        </w:rPr>
        <w:t> </w:t>
      </w:r>
      <w:r>
        <w:rPr/>
        <w:t>Publications.</w:t>
      </w:r>
    </w:p>
    <w:p>
      <w:pPr>
        <w:pStyle w:val="BodyText"/>
        <w:spacing w:line="276" w:lineRule="auto" w:before="56"/>
        <w:ind w:right="521"/>
      </w:pPr>
      <w:r>
        <w:rPr/>
        <w:t>Zhu, X., Qiu, C., Hu, j., Shi, Y., Wang, Y., Schmitt, M., Taubenböck, H. (2022). The urban</w:t>
      </w:r>
      <w:r>
        <w:rPr>
          <w:spacing w:val="1"/>
        </w:rPr>
        <w:t> </w:t>
      </w:r>
      <w:r>
        <w:rPr/>
        <w:t>morphology on our planet – Global perspectives from space, Remote Sensing of Environment,</w:t>
      </w:r>
      <w:r>
        <w:rPr>
          <w:spacing w:val="-58"/>
        </w:rPr>
        <w:t> </w:t>
      </w:r>
      <w:r>
        <w:rPr/>
        <w:t>Volume</w:t>
      </w:r>
      <w:r>
        <w:rPr>
          <w:spacing w:val="-1"/>
        </w:rPr>
        <w:t> </w:t>
      </w:r>
      <w:r>
        <w:rPr/>
        <w:t>269, 112794, ISSN 0034-4257, https://doi.org/10.1016/j.rse.2021.112794.</w:t>
      </w:r>
    </w:p>
    <w:p>
      <w:pPr>
        <w:spacing w:after="0" w:line="276" w:lineRule="auto"/>
        <w:sectPr>
          <w:pgSz w:w="12240" w:h="15840"/>
          <w:pgMar w:top="1360" w:bottom="280" w:left="1220" w:right="1180"/>
        </w:sectPr>
      </w:pPr>
    </w:p>
    <w:p>
      <w:pPr>
        <w:pStyle w:val="BodyText"/>
        <w:ind w:left="0"/>
        <w:rPr>
          <w:sz w:val="20"/>
        </w:rPr>
      </w:pPr>
    </w:p>
    <w:p>
      <w:pPr>
        <w:pStyle w:val="BodyText"/>
        <w:ind w:left="0"/>
        <w:rPr>
          <w:sz w:val="20"/>
        </w:rPr>
      </w:pPr>
    </w:p>
    <w:p>
      <w:pPr>
        <w:pStyle w:val="BodyText"/>
        <w:ind w:left="0"/>
        <w:rPr>
          <w:sz w:val="20"/>
        </w:rPr>
      </w:pPr>
    </w:p>
    <w:p>
      <w:pPr>
        <w:pStyle w:val="BodyText"/>
        <w:ind w:left="0"/>
        <w:rPr>
          <w:sz w:val="20"/>
        </w:rPr>
      </w:pPr>
    </w:p>
    <w:p>
      <w:pPr>
        <w:pStyle w:val="BodyText"/>
        <w:ind w:left="0"/>
        <w:rPr>
          <w:sz w:val="20"/>
        </w:rPr>
      </w:pPr>
    </w:p>
    <w:p>
      <w:pPr>
        <w:pStyle w:val="BodyText"/>
        <w:ind w:left="0"/>
        <w:rPr>
          <w:sz w:val="20"/>
        </w:rPr>
      </w:pPr>
    </w:p>
    <w:p>
      <w:pPr>
        <w:pStyle w:val="BodyText"/>
        <w:ind w:left="0"/>
        <w:rPr>
          <w:sz w:val="20"/>
        </w:rPr>
      </w:pPr>
    </w:p>
    <w:p>
      <w:pPr>
        <w:pStyle w:val="BodyText"/>
        <w:ind w:left="0"/>
        <w:rPr>
          <w:sz w:val="20"/>
        </w:rPr>
      </w:pPr>
    </w:p>
    <w:p>
      <w:pPr>
        <w:pStyle w:val="BodyText"/>
        <w:ind w:left="0"/>
        <w:rPr>
          <w:sz w:val="20"/>
        </w:rPr>
      </w:pPr>
    </w:p>
    <w:p>
      <w:pPr>
        <w:pStyle w:val="BodyText"/>
        <w:ind w:left="0"/>
        <w:rPr>
          <w:sz w:val="20"/>
        </w:rPr>
      </w:pPr>
    </w:p>
    <w:p>
      <w:pPr>
        <w:pStyle w:val="BodyText"/>
        <w:spacing w:before="3"/>
        <w:ind w:left="0"/>
        <w:rPr>
          <w:sz w:val="20"/>
        </w:rPr>
      </w:pPr>
    </w:p>
    <w:p>
      <w:pPr>
        <w:pStyle w:val="BodyText"/>
        <w:ind w:left="812"/>
        <w:rPr>
          <w:sz w:val="20"/>
        </w:rPr>
      </w:pPr>
      <w:r>
        <w:rPr>
          <w:sz w:val="20"/>
        </w:rPr>
        <w:pict>
          <v:group style="width:367.8pt;height:388.5pt;mso-position-horizontal-relative:char;mso-position-vertical-relative:line" id="docshapegroup187" coordorigin="0,0" coordsize="7356,7770">
            <v:shape style="position:absolute;left:0;top:0;width:7356;height:7770" id="docshape188" coordorigin="0,0" coordsize="7356,7770" path="m2785,6836l2777,6748,2760,6658,2742,6592,2719,6525,2692,6457,2660,6387,2624,6316,2583,6244,2537,6170,2498,6112,2473,6077,2473,6777,2470,6853,2457,6927,2433,6998,2397,7067,2348,7135,2288,7201,2100,7389,380,5669,565,5483,637,5419,710,5369,784,5334,861,5314,939,5305,1020,5307,1102,5318,1187,5340,1256,5365,1325,5395,1396,5431,1467,5473,1539,5521,1600,5565,1661,5612,1721,5662,1782,5714,1842,5770,1902,5828,1964,5892,2023,5954,2078,6015,2130,6075,2177,6134,2221,6191,2262,6247,2313,6325,2356,6400,2392,6473,2422,6545,2445,6614,2465,6697,2473,6777,2473,6077,2456,6054,2412,5995,2364,5935,2313,5874,2260,5812,2203,5750,2144,5687,2082,5624,2020,5563,1958,5505,1896,5450,1834,5398,1773,5349,1716,5305,1712,5303,1652,5259,1592,5219,1512,5170,1433,5127,1355,5089,1278,5056,1202,5029,1127,5007,1039,4989,953,4979,869,4978,786,4985,706,5000,641,5019,577,5046,514,5081,452,5123,391,5172,332,5228,21,5539,10,5552,3,5569,0,5588,1,5610,7,5636,21,5664,43,5694,72,5726,2044,7698,2076,7728,2106,7749,2134,7762,2159,7768,2182,7770,2202,7767,2218,7760,2232,7750,2523,7459,2578,7400,2587,7389,2627,7339,2669,7277,2705,7215,2734,7151,2756,7086,2774,7005,2784,6922,2785,6836xm4398,5566l4398,5557,4393,5548,4388,5539,4381,5529,4372,5521,4365,5513,4355,5505,4343,5496,4329,5485,4312,5474,4224,5419,3700,5107,3647,5075,3563,5025,3513,4997,3421,4947,3378,4925,3337,4906,3297,4889,3259,4874,3222,4861,3186,4852,3151,4844,3126,4839,3118,4837,3087,4834,3056,4833,3026,4835,2997,4839,3008,4791,3016,4743,3021,4695,3022,4646,3020,4596,3014,4546,3003,4496,2988,4444,2970,4393,2947,4341,2920,4288,2887,4234,2849,4182,2807,4128,2759,4073,2749,4062,2749,4661,2744,4702,2734,4742,2720,4782,2698,4822,2671,4860,2638,4897,2460,5075,1715,4330,1869,4176,1895,4150,1920,4128,1942,4109,1962,4093,1981,4080,2000,4068,2019,4058,2039,4051,2100,4034,2162,4029,2225,4037,2288,4058,2351,4090,2415,4131,2479,4182,2544,4242,2582,4282,2617,4323,2649,4364,2677,4407,2701,4450,2719,4492,2733,4535,2743,4577,2749,4619,2749,4661,2749,4062,2717,4029,2707,4018,2649,3963,2591,3913,2534,3868,2476,3828,2419,3794,2361,3766,2304,3742,2246,3723,2189,3710,2133,3702,2078,3701,2023,3704,1968,3713,1915,3729,1863,3749,1812,3775,1795,3787,1777,3799,1740,3826,1720,3844,1699,3863,1675,3885,1650,3910,1432,4128,1358,4202,1347,4215,1340,4232,1337,4251,1338,4273,1345,4299,1359,4327,1380,4357,1409,4389,3465,6445,3475,6452,3495,6460,3504,6460,3515,6457,3525,6454,3534,6450,3545,6446,3556,6440,3566,6432,3577,6423,3589,6412,3602,6400,3615,6386,3626,6374,3635,6362,3644,6352,3649,6341,3654,6331,3657,6322,3659,6312,3662,6302,3662,6292,3659,6282,3655,6272,3648,6262,2697,5312,2819,5190,2851,5162,2885,5140,2920,5123,2956,5112,2994,5107,3033,5107,3074,5110,3117,5118,3161,5131,3207,5146,3254,5166,3302,5189,3352,5216,3404,5244,3457,5275,3512,5308,4172,5710,4184,5717,4194,5722,4204,5726,4216,5732,4228,5733,4241,5731,4251,5729,4261,5726,4271,5721,4281,5714,4292,5706,4304,5696,4316,5685,4329,5673,4344,5657,4357,5643,4368,5630,4377,5618,4384,5608,4390,5598,4394,5588,4396,5579,4398,5566xm5703,4273l5702,4263,5698,4252,5693,4241,5685,4230,5674,4218,5661,4207,5645,4196,5627,4183,5605,4168,5333,3995,4543,3495,4543,3809,4065,4286,3876,3995,3849,3952,3287,3081,3200,2947,3200,2947,3201,2947,3201,2946,4543,3809,4543,3495,3674,2946,3091,2575,3079,2568,3068,2562,3057,2558,3046,2554,3036,2552,3027,2552,3017,2554,3006,2557,2995,2561,2984,2566,2972,2573,2960,2582,2947,2593,2933,2606,2918,2621,2902,2637,2887,2652,2874,2666,2862,2679,2852,2691,2844,2702,2837,2713,2832,2724,2828,2735,2826,2745,2824,2755,2825,2764,2827,2774,2830,2784,2834,2794,2840,2805,2846,2816,2929,2947,2976,3020,3566,3952,3593,3995,4439,5331,4454,5352,4467,5371,4479,5386,4491,5399,4501,5410,4512,5418,4523,5424,4534,5427,4544,5429,4555,5427,4566,5423,4579,5417,4590,5408,4603,5397,4617,5385,4632,5370,4646,5356,4658,5342,4668,5330,4677,5318,4684,5308,4689,5298,4693,5288,4694,5278,4695,5266,4695,5256,4690,5244,4686,5234,4681,5222,4673,5210,4296,4630,4254,4566,4534,4286,4825,3995,5481,4415,5494,4423,5506,4428,5516,4432,5526,4435,5535,4436,5546,4432,5555,4430,5565,4426,5575,4421,5586,4413,5598,4403,5610,4392,5624,4378,5640,4362,5655,4346,5669,4332,5680,4318,5690,4306,5697,4295,5701,4284,5703,4273xm6101,3864l6100,3854,6095,3843,6091,3833,6085,3825,5156,2895,5636,2415,5637,2407,5637,2397,5636,2387,5634,2376,5622,2353,5615,2342,5607,2330,5597,2318,5585,2305,5560,2277,5544,2261,5527,2244,5510,2228,5482,2203,5470,2193,5459,2185,5448,2179,5439,2175,5427,2169,5416,2167,5407,2166,5398,2168,5392,2170,4911,2651,4159,1899,4668,1391,4670,1385,4670,1374,4669,1365,4667,1354,4655,1331,4648,1320,4640,1308,4630,1295,4618,1282,4591,1253,4575,1237,4559,1221,4544,1207,4515,1181,4503,1171,4491,1162,4479,1155,4455,1142,4444,1140,4435,1139,4424,1139,4418,1141,3795,1764,3785,1778,3778,1794,3775,1814,3775,1835,3782,1862,3796,1890,3818,1920,3847,1952,5903,4007,5911,4013,5921,4017,5932,4022,5942,4023,5952,4019,5962,4017,5972,4013,5982,4008,5993,4002,6004,3994,6015,3985,6027,3974,6040,3962,6053,3949,6064,3937,6073,3925,6081,3914,6087,3903,6091,3893,6095,3884,6097,3875,6101,3864xm7355,2610l7354,2600,7347,2580,7339,2570,5414,645,5805,253,5809,246,5809,236,5808,226,5806,215,5793,192,5786,182,5777,170,5767,158,5729,116,5713,99,5697,84,5681,69,5653,43,5641,33,5629,24,5618,17,5607,11,5594,3,5583,1,5573,0,5563,0,5556,4,4590,969,4586,976,4587,986,4587,996,4591,1006,4598,1020,4604,1030,4612,1041,4621,1053,4643,1080,4656,1095,4670,1110,4686,1127,4702,1142,4717,1157,4732,1169,4745,1180,4758,1190,4769,1199,4780,1206,4803,1218,4813,1222,4823,1222,4833,1223,4840,1219,5231,827,7157,2753,7167,2760,7187,2768,7196,2769,7207,2765,7216,2762,7226,2759,7236,2754,7247,2748,7258,2740,7269,2731,7282,2720,7294,2708,7307,2695,7318,2682,7327,2671,7335,2660,7341,2649,7345,2639,7349,2630,7351,2620,7355,2610xe" filled="true" fillcolor="#c0c0c0" stroked="false">
              <v:path arrowok="t"/>
              <v:fill opacity="32896f" type="solid"/>
            </v:shape>
          </v:group>
        </w:pict>
      </w:r>
      <w:r>
        <w:rPr>
          <w:sz w:val="20"/>
        </w:rPr>
      </w:r>
    </w:p>
    <w:sectPr>
      <w:pgSz w:w="12240" w:h="15840"/>
      <w:pgMar w:top="1500" w:bottom="280" w:left="1220" w:right="11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Calibri">
    <w:altName w:val="Calibri"/>
    <w:charset w:val="0"/>
    <w:family w:val="swiss"/>
    <w:pitch w:val="variable"/>
  </w:font>
  <w:font w:name="Wingdings">
    <w:altName w:val="Wingdings"/>
    <w:charset w:val="2"/>
    <w:family w:val="auto"/>
    <w:pitch w:val="variable"/>
  </w:font>
  <w:font w:name="Georgia">
    <w:altName w:val="Georgia"/>
    <w:charset w:val="0"/>
    <w:family w:val="roman"/>
    <w:pitch w:val="variable"/>
  </w:font>
  <w:font w:name="Segoe UI">
    <w:altName w:val="Segoe UI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multiLevelType w:val="hybridMultilevel"/>
    <w:lvl w:ilvl="0">
      <w:start w:val="1"/>
      <w:numFmt w:val="decimal"/>
      <w:lvlText w:val="%1)"/>
      <w:lvlJc w:val="left"/>
      <w:pPr>
        <w:ind w:left="220" w:hanging="260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99"/>
        <w:sz w:val="24"/>
        <w:szCs w:val="24"/>
        <w:lang w:val="en-us" w:eastAsia="en-US" w:bidi="ar-SA"/>
      </w:rPr>
    </w:lvl>
    <w:lvl w:ilvl="1">
      <w:start w:val="1"/>
      <w:numFmt w:val="decimal"/>
      <w:lvlText w:val="%2."/>
      <w:lvlJc w:val="left"/>
      <w:pPr>
        <w:ind w:left="1660" w:hanging="720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100"/>
        <w:sz w:val="24"/>
        <w:szCs w:val="24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568" w:hanging="72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477" w:hanging="72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386" w:hanging="72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295" w:hanging="72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204" w:hanging="72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113" w:hanging="72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022" w:hanging="720"/>
      </w:pPr>
      <w:rPr>
        <w:rFonts w:hint="default"/>
        <w:lang w:val="en-us" w:eastAsia="en-US" w:bidi="ar-SA"/>
      </w:rPr>
    </w:lvl>
  </w:abstractNum>
  <w:abstractNum w:abstractNumId="1">
    <w:multiLevelType w:val="hybridMultilevel"/>
    <w:lvl w:ilvl="0">
      <w:start w:val="0"/>
      <w:numFmt w:val="bullet"/>
      <w:lvlText w:val="•"/>
      <w:lvlJc w:val="left"/>
      <w:pPr>
        <w:ind w:left="80" w:hanging="81"/>
      </w:pPr>
      <w:rPr>
        <w:rFonts w:hint="default" w:ascii="Calibri" w:hAnsi="Calibri" w:eastAsia="Calibri" w:cs="Calibri"/>
        <w:b w:val="0"/>
        <w:bCs w:val="0"/>
        <w:i w:val="0"/>
        <w:iCs w:val="0"/>
        <w:w w:val="107"/>
        <w:sz w:val="10"/>
        <w:szCs w:val="10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32" w:hanging="81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85" w:hanging="81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38" w:hanging="81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91" w:hanging="81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44" w:hanging="81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96" w:hanging="81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49" w:hanging="81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502" w:hanging="81"/>
      </w:pPr>
      <w:rPr>
        <w:rFonts w:hint="default"/>
        <w:lang w:val="en-us" w:eastAsia="en-US" w:bidi="ar-SA"/>
      </w:rPr>
    </w:lvl>
  </w:abstractNum>
  <w:abstractNum w:abstractNumId="0">
    <w:multiLevelType w:val="hybridMultilevel"/>
    <w:lvl w:ilvl="0">
      <w:start w:val="0"/>
      <w:numFmt w:val="bullet"/>
      <w:lvlText w:val=""/>
      <w:lvlJc w:val="left"/>
      <w:pPr>
        <w:ind w:left="940" w:hanging="360"/>
      </w:pPr>
      <w:rPr>
        <w:rFonts w:hint="default" w:ascii="Wingdings" w:hAnsi="Wingdings" w:eastAsia="Wingdings" w:cs="Wingdings"/>
        <w:b w:val="0"/>
        <w:bCs w:val="0"/>
        <w:i w:val="0"/>
        <w:iCs w:val="0"/>
        <w:w w:val="100"/>
        <w:sz w:val="24"/>
        <w:szCs w:val="24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830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720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610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500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390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280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170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060" w:hanging="360"/>
      </w:pPr>
      <w:rPr>
        <w:rFonts w:hint="default"/>
        <w:lang w:val="en-us" w:eastAsia="en-US" w:bidi="ar-SA"/>
      </w:rPr>
    </w:lvl>
  </w:abstract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en-us" w:eastAsia="en-US" w:bidi="ar-SA"/>
    </w:rPr>
  </w:style>
  <w:style w:styleId="BodyText" w:type="paragraph">
    <w:name w:val="Body Text"/>
    <w:basedOn w:val="Normal"/>
    <w:uiPriority w:val="1"/>
    <w:qFormat/>
    <w:pPr>
      <w:ind w:left="220"/>
    </w:pPr>
    <w:rPr>
      <w:rFonts w:ascii="Times New Roman" w:hAnsi="Times New Roman" w:eastAsia="Times New Roman" w:cs="Times New Roman"/>
      <w:sz w:val="24"/>
      <w:szCs w:val="24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1"/>
      <w:ind w:left="220"/>
      <w:outlineLvl w:val="1"/>
    </w:pPr>
    <w:rPr>
      <w:rFonts w:ascii="Segoe UI" w:hAnsi="Segoe UI" w:eastAsia="Segoe UI" w:cs="Segoe UI"/>
      <w:b/>
      <w:bCs/>
      <w:sz w:val="28"/>
      <w:szCs w:val="28"/>
      <w:lang w:val="en-us" w:eastAsia="en-US" w:bidi="ar-SA"/>
    </w:rPr>
  </w:style>
  <w:style w:styleId="Heading2" w:type="paragraph">
    <w:name w:val="Heading 2"/>
    <w:basedOn w:val="Normal"/>
    <w:uiPriority w:val="1"/>
    <w:qFormat/>
    <w:pPr>
      <w:ind w:left="220"/>
      <w:outlineLvl w:val="2"/>
    </w:pPr>
    <w:rPr>
      <w:rFonts w:ascii="Calibri" w:hAnsi="Calibri" w:eastAsia="Calibri" w:cs="Calibri"/>
      <w:b/>
      <w:bCs/>
      <w:sz w:val="24"/>
      <w:szCs w:val="24"/>
      <w:lang w:val="en-us" w:eastAsia="en-US" w:bidi="ar-SA"/>
    </w:rPr>
  </w:style>
  <w:style w:styleId="Title" w:type="paragraph">
    <w:name w:val="Title"/>
    <w:basedOn w:val="Normal"/>
    <w:uiPriority w:val="1"/>
    <w:qFormat/>
    <w:pPr>
      <w:ind w:left="366" w:right="167"/>
      <w:jc w:val="center"/>
    </w:pPr>
    <w:rPr>
      <w:rFonts w:ascii="Calibri" w:hAnsi="Calibri" w:eastAsia="Calibri" w:cs="Calibri"/>
      <w:b/>
      <w:bCs/>
      <w:sz w:val="44"/>
      <w:szCs w:val="44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ind w:left="1660" w:hanging="721"/>
    </w:pPr>
    <w:rPr>
      <w:rFonts w:ascii="Times New Roman" w:hAnsi="Times New Roman" w:eastAsia="Times New Roman" w:cs="Times New Roman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Calibri" w:hAnsi="Calibri" w:eastAsia="Calibri" w:cs="Calibri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hyperlink" Target="https://link.springer.com/article/10.1007/s13753-019-0224-y#ref-CR18" TargetMode="External"/><Relationship Id="rId10" Type="http://schemas.openxmlformats.org/officeDocument/2006/relationships/image" Target="media/image5.jpeg"/><Relationship Id="rId11" Type="http://schemas.openxmlformats.org/officeDocument/2006/relationships/hyperlink" Target="https://doi.org/10.4212/cjhp.v67i6.1406" TargetMode="External"/><Relationship Id="rId12" Type="http://schemas.openxmlformats.org/officeDocument/2006/relationships/hyperlink" Target="https://doi.org/10.3390/ijerph111212896" TargetMode="External"/><Relationship Id="rId13" Type="http://schemas.openxmlformats.org/officeDocument/2006/relationships/hyperlink" Target="http://www.ncbi.nlm.nih.gov/books/NBK525226/" TargetMode="External"/><Relationship Id="rId14" Type="http://schemas.openxmlformats.org/officeDocument/2006/relationships/hyperlink" Target="http://censusindia.gov.in/2011-prov-results/prov_data_products_gujarat.html" TargetMode="External"/><Relationship Id="rId15" Type="http://schemas.openxmlformats.org/officeDocument/2006/relationships/hyperlink" Target="https://doi.org/10.1111/disa.12368" TargetMode="External"/><Relationship Id="rId16" Type="http://schemas.openxmlformats.org/officeDocument/2006/relationships/hyperlink" Target="https://doi.org/10.1186/s12245-017-0139-6" TargetMode="External"/><Relationship Id="rId17" Type="http://schemas.openxmlformats.org/officeDocument/2006/relationships/hyperlink" Target="https://doi.org/10.1016/S1473-3099(20)30249-8" TargetMode="External"/><Relationship Id="rId18" Type="http://schemas.openxmlformats.org/officeDocument/2006/relationships/hyperlink" Target="https://doi.org/10.1007/s13753-019-0224-y" TargetMode="External"/><Relationship Id="rId19" Type="http://schemas.openxmlformats.org/officeDocument/2006/relationships/hyperlink" Target="https://doi.org/10.1016/B0-12-369398-5/00142-0" TargetMode="External"/><Relationship Id="rId20" Type="http://schemas.openxmlformats.org/officeDocument/2006/relationships/hyperlink" Target="https://doi.org/10.1177/08404704211028857" TargetMode="External"/><Relationship Id="rId21" Type="http://schemas.openxmlformats.org/officeDocument/2006/relationships/numbering" Target="numbering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Cesar Marolla</dc:creator>
  <dcterms:created xsi:type="dcterms:W3CDTF">2022-05-13T17:13:19Z</dcterms:created>
  <dcterms:modified xsi:type="dcterms:W3CDTF">2022-05-13T17:13:19Z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2022-03-11T00:00:00Z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2022-05-13T00:00:00Z</vt:filetime>
  </property>
</Properties>
</file>