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0AB1" w:rsidRDefault="008B0AB1" w:rsidP="008B0AB1">
      <w:pPr>
        <w:pStyle w:val="NormalWeb"/>
        <w:shd w:val="clear" w:color="auto" w:fill="FFFFFF"/>
        <w:jc w:val="both"/>
        <w:rPr>
          <w:rFonts w:ascii="TimesNewRomanPSMT" w:hAnsi="TimesNewRomanPSMT"/>
          <w:color w:val="333333"/>
          <w:sz w:val="28"/>
          <w:szCs w:val="28"/>
        </w:rPr>
      </w:pPr>
      <w:r>
        <w:rPr>
          <w:rFonts w:ascii="TimesNewRomanPSMT" w:hAnsi="TimesNewRomanPSMT"/>
          <w:color w:val="333333"/>
          <w:sz w:val="28"/>
          <w:szCs w:val="28"/>
        </w:rPr>
        <w:t xml:space="preserve">  Environmental injunctions as a tool to develop climate change law</w:t>
      </w:r>
      <w:bookmarkStart w:id="0" w:name="_GoBack"/>
      <w:bookmarkEnd w:id="0"/>
    </w:p>
    <w:p w:rsidR="008B0AB1" w:rsidRDefault="008B0AB1" w:rsidP="008B0AB1">
      <w:pPr>
        <w:pStyle w:val="NormalWeb"/>
        <w:shd w:val="clear" w:color="auto" w:fill="FFFFFF"/>
        <w:jc w:val="both"/>
        <w:rPr>
          <w:rFonts w:ascii="TimesNewRomanPSMT" w:hAnsi="TimesNewRomanPSMT"/>
          <w:color w:val="333333"/>
          <w:sz w:val="28"/>
          <w:szCs w:val="28"/>
        </w:rPr>
      </w:pPr>
    </w:p>
    <w:p w:rsidR="008B0AB1" w:rsidRPr="008B0AB1" w:rsidRDefault="008B0AB1" w:rsidP="008B0AB1">
      <w:pPr>
        <w:pStyle w:val="NormalWeb"/>
        <w:shd w:val="clear" w:color="auto" w:fill="FFFFFF"/>
        <w:jc w:val="both"/>
        <w:rPr>
          <w:sz w:val="28"/>
          <w:szCs w:val="28"/>
        </w:rPr>
      </w:pPr>
      <w:r w:rsidRPr="008B0AB1">
        <w:rPr>
          <w:rFonts w:ascii="TimesNewRomanPSMT" w:hAnsi="TimesNewRomanPSMT"/>
          <w:color w:val="333333"/>
          <w:sz w:val="28"/>
          <w:szCs w:val="28"/>
        </w:rPr>
        <w:t xml:space="preserve">Environmental litigation expands into economic activities that result in global warming and climate change and promote inequitable distribution of natural resources. Presently, it has evolved into climate change litigation where international courts have held that governments need to act on climate change to protect its inhabitants. Environmental litigation is aimed at propelling economic growth at a micro-level by pushing businesses to adopt sustainable businesses practices and help attain low carbon economies. Courts are expected to provide long-term solutions to environmental problems that eventually help tackle climate change impacts by enforcing legislative norms on environment protection and conservation of natural resources. Injunctive relief, an important aspect of environmental litigation, where courts exercise discretionary powers under equity jurisdiction is the threshold for courts to intervene and guide economic activities to comply with norms of sustainable development. Preliminary injunctions can help pave way to developing equitable norms for sustainable development by minimizing damage to the environment while actually protecting businesses. </w:t>
      </w:r>
    </w:p>
    <w:p w:rsidR="008B0AB1" w:rsidRPr="008B0AB1" w:rsidRDefault="008B0AB1" w:rsidP="008B0AB1">
      <w:pPr>
        <w:pStyle w:val="NormalWeb"/>
        <w:shd w:val="clear" w:color="auto" w:fill="FFFFFF"/>
        <w:jc w:val="both"/>
        <w:rPr>
          <w:sz w:val="28"/>
          <w:szCs w:val="28"/>
        </w:rPr>
      </w:pPr>
      <w:r w:rsidRPr="008B0AB1">
        <w:rPr>
          <w:rFonts w:ascii="TimesNewRomanPSMT" w:hAnsi="TimesNewRomanPSMT"/>
          <w:color w:val="333333"/>
          <w:sz w:val="28"/>
          <w:szCs w:val="28"/>
        </w:rPr>
        <w:t xml:space="preserve">Environmental litigation needs to protect the legislative intent of the executive, preserve fundamental rights of litigants and parties not present before the court. Injunctive relief should aim at preventing any form of injury to defending party and protect their rights that exist under the prevailing law or in equity within its jurisdiction. Law relating to interlocutory injunctive relief is the common law evolved by courts based on existing procedural rules which seem insufficient to deal with the complex duty of protecting the environment and tackling climate change. In the absence of statutory prescriptions for testing environmental harm, courts have </w:t>
      </w:r>
      <w:r w:rsidRPr="008B0AB1">
        <w:rPr>
          <w:rFonts w:ascii="TimesNewRomanPSMT" w:hAnsi="TimesNewRomanPSMT"/>
          <w:color w:val="333333"/>
          <w:sz w:val="28"/>
          <w:szCs w:val="28"/>
        </w:rPr>
        <w:t>endeavoured</w:t>
      </w:r>
      <w:r w:rsidRPr="008B0AB1">
        <w:rPr>
          <w:rFonts w:ascii="TimesNewRomanPSMT" w:hAnsi="TimesNewRomanPSMT"/>
          <w:color w:val="333333"/>
          <w:sz w:val="28"/>
          <w:szCs w:val="28"/>
        </w:rPr>
        <w:t xml:space="preserve"> to establish standards for granting interlocutory injunctive relief, as a means to ensure that there is no abuse of the discretionary power and further, valid and well-founded orders cannot be set aside on the grounds of abuse of judicial discretion. States like California have codified standards in consonance with the standards developed by various federal courts. The paper calls for a uniform federal standard for granting injunctive relief in environmental cases by initially discussing some important landmark articles written by Professor John Leubsdorf and other authors who relied on his arguments, including Judge Richard Posner. The paper, further makes an attempt at pointing out as to when and where can courts intervene and ensure sustainable business practices are implemented. It takes cues from judicial review of injunctive relief provided by the courts of the United States. </w:t>
      </w:r>
    </w:p>
    <w:p w:rsidR="00616F63" w:rsidRPr="008B0AB1" w:rsidRDefault="008B0AB1" w:rsidP="008B0AB1">
      <w:pPr>
        <w:rPr>
          <w:sz w:val="28"/>
          <w:szCs w:val="28"/>
        </w:rPr>
      </w:pPr>
    </w:p>
    <w:sectPr w:rsidR="00616F63" w:rsidRPr="008B0AB1" w:rsidSect="004A7E1E">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panose1 w:val="020B0604020202020204"/>
    <w:charset w:val="00"/>
    <w:family w:val="roman"/>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AB1"/>
    <w:rsid w:val="002F0882"/>
    <w:rsid w:val="00374FF0"/>
    <w:rsid w:val="004A7E1E"/>
    <w:rsid w:val="00545568"/>
    <w:rsid w:val="00546B87"/>
    <w:rsid w:val="00650D22"/>
    <w:rsid w:val="008B0AB1"/>
    <w:rsid w:val="00FC18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9C0331B"/>
  <w15:chartTrackingRefBased/>
  <w15:docId w15:val="{841B5BC9-48EE-A243-B495-15B3C15C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pPr>
        <w:spacing w:before="100" w:beforeAutospacing="1" w:after="100" w:afterAutospacing="1"/>
        <w:ind w:lef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semiHidden/>
    <w:unhideWhenUsed/>
    <w:rsid w:val="00650D22"/>
    <w:rPr>
      <w:rFonts w:ascii="Times New Roman" w:hAnsi="Times New Roman" w:cs="Times New Roman (Body CS)"/>
      <w:sz w:val="16"/>
      <w:szCs w:val="20"/>
    </w:rPr>
  </w:style>
  <w:style w:type="character" w:customStyle="1" w:styleId="FootnoteTextChar">
    <w:name w:val="Footnote Text Char"/>
    <w:basedOn w:val="DefaultParagraphFont"/>
    <w:link w:val="FootnoteText"/>
    <w:uiPriority w:val="99"/>
    <w:semiHidden/>
    <w:rsid w:val="00650D22"/>
    <w:rPr>
      <w:rFonts w:ascii="Times New Roman" w:hAnsi="Times New Roman" w:cs="Times New Roman (Body CS)"/>
      <w:sz w:val="16"/>
      <w:szCs w:val="20"/>
    </w:rPr>
  </w:style>
  <w:style w:type="paragraph" w:styleId="NormalWeb">
    <w:name w:val="Normal (Web)"/>
    <w:basedOn w:val="Normal"/>
    <w:uiPriority w:val="99"/>
    <w:semiHidden/>
    <w:unhideWhenUsed/>
    <w:rsid w:val="008B0AB1"/>
    <w:pPr>
      <w:ind w:left="0"/>
      <w:jc w:val="left"/>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237216">
      <w:bodyDiv w:val="1"/>
      <w:marLeft w:val="0"/>
      <w:marRight w:val="0"/>
      <w:marTop w:val="0"/>
      <w:marBottom w:val="0"/>
      <w:divBdr>
        <w:top w:val="none" w:sz="0" w:space="0" w:color="auto"/>
        <w:left w:val="none" w:sz="0" w:space="0" w:color="auto"/>
        <w:bottom w:val="none" w:sz="0" w:space="0" w:color="auto"/>
        <w:right w:val="none" w:sz="0" w:space="0" w:color="auto"/>
      </w:divBdr>
      <w:divsChild>
        <w:div w:id="333337281">
          <w:marLeft w:val="0"/>
          <w:marRight w:val="0"/>
          <w:marTop w:val="0"/>
          <w:marBottom w:val="0"/>
          <w:divBdr>
            <w:top w:val="none" w:sz="0" w:space="0" w:color="auto"/>
            <w:left w:val="none" w:sz="0" w:space="0" w:color="auto"/>
            <w:bottom w:val="none" w:sz="0" w:space="0" w:color="auto"/>
            <w:right w:val="none" w:sz="0" w:space="0" w:color="auto"/>
          </w:divBdr>
          <w:divsChild>
            <w:div w:id="1389721218">
              <w:marLeft w:val="0"/>
              <w:marRight w:val="0"/>
              <w:marTop w:val="0"/>
              <w:marBottom w:val="0"/>
              <w:divBdr>
                <w:top w:val="none" w:sz="0" w:space="0" w:color="auto"/>
                <w:left w:val="none" w:sz="0" w:space="0" w:color="auto"/>
                <w:bottom w:val="none" w:sz="0" w:space="0" w:color="auto"/>
                <w:right w:val="none" w:sz="0" w:space="0" w:color="auto"/>
              </w:divBdr>
              <w:divsChild>
                <w:div w:id="1345786555">
                  <w:marLeft w:val="0"/>
                  <w:marRight w:val="0"/>
                  <w:marTop w:val="0"/>
                  <w:marBottom w:val="0"/>
                  <w:divBdr>
                    <w:top w:val="none" w:sz="0" w:space="0" w:color="auto"/>
                    <w:left w:val="none" w:sz="0" w:space="0" w:color="auto"/>
                    <w:bottom w:val="none" w:sz="0" w:space="0" w:color="auto"/>
                    <w:right w:val="none" w:sz="0" w:space="0" w:color="auto"/>
                  </w:divBdr>
                  <w:divsChild>
                    <w:div w:id="1163158997">
                      <w:marLeft w:val="0"/>
                      <w:marRight w:val="0"/>
                      <w:marTop w:val="0"/>
                      <w:marBottom w:val="0"/>
                      <w:divBdr>
                        <w:top w:val="none" w:sz="0" w:space="0" w:color="auto"/>
                        <w:left w:val="none" w:sz="0" w:space="0" w:color="auto"/>
                        <w:bottom w:val="none" w:sz="0" w:space="0" w:color="auto"/>
                        <w:right w:val="none" w:sz="0" w:space="0" w:color="auto"/>
                      </w:divBdr>
                    </w:div>
                  </w:divsChild>
                </w:div>
                <w:div w:id="1941987056">
                  <w:marLeft w:val="0"/>
                  <w:marRight w:val="0"/>
                  <w:marTop w:val="0"/>
                  <w:marBottom w:val="0"/>
                  <w:divBdr>
                    <w:top w:val="none" w:sz="0" w:space="0" w:color="auto"/>
                    <w:left w:val="none" w:sz="0" w:space="0" w:color="auto"/>
                    <w:bottom w:val="none" w:sz="0" w:space="0" w:color="auto"/>
                    <w:right w:val="none" w:sz="0" w:space="0" w:color="auto"/>
                  </w:divBdr>
                  <w:divsChild>
                    <w:div w:id="26846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93099">
          <w:marLeft w:val="0"/>
          <w:marRight w:val="0"/>
          <w:marTop w:val="0"/>
          <w:marBottom w:val="0"/>
          <w:divBdr>
            <w:top w:val="none" w:sz="0" w:space="0" w:color="auto"/>
            <w:left w:val="none" w:sz="0" w:space="0" w:color="auto"/>
            <w:bottom w:val="none" w:sz="0" w:space="0" w:color="auto"/>
            <w:right w:val="none" w:sz="0" w:space="0" w:color="auto"/>
          </w:divBdr>
          <w:divsChild>
            <w:div w:id="353918496">
              <w:marLeft w:val="0"/>
              <w:marRight w:val="0"/>
              <w:marTop w:val="0"/>
              <w:marBottom w:val="0"/>
              <w:divBdr>
                <w:top w:val="none" w:sz="0" w:space="0" w:color="auto"/>
                <w:left w:val="none" w:sz="0" w:space="0" w:color="auto"/>
                <w:bottom w:val="none" w:sz="0" w:space="0" w:color="auto"/>
                <w:right w:val="none" w:sz="0" w:space="0" w:color="auto"/>
              </w:divBdr>
              <w:divsChild>
                <w:div w:id="1933320118">
                  <w:marLeft w:val="0"/>
                  <w:marRight w:val="0"/>
                  <w:marTop w:val="0"/>
                  <w:marBottom w:val="0"/>
                  <w:divBdr>
                    <w:top w:val="none" w:sz="0" w:space="0" w:color="auto"/>
                    <w:left w:val="none" w:sz="0" w:space="0" w:color="auto"/>
                    <w:bottom w:val="none" w:sz="0" w:space="0" w:color="auto"/>
                    <w:right w:val="none" w:sz="0" w:space="0" w:color="auto"/>
                  </w:divBdr>
                  <w:divsChild>
                    <w:div w:id="14882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Kalpana Murari</dc:creator>
  <cp:keywords/>
  <dc:description/>
  <cp:lastModifiedBy>Kalpana Murari</cp:lastModifiedBy>
  <cp:revision>1</cp:revision>
  <dcterms:created xsi:type="dcterms:W3CDTF">2020-02-18T12:02:00Z</dcterms:created>
  <dcterms:modified xsi:type="dcterms:W3CDTF">2020-02-18T12:06:00Z</dcterms:modified>
</cp:coreProperties>
</file>