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3B31C" w14:textId="585E3508" w:rsidR="00AC2ED1" w:rsidRPr="00AC2ED1" w:rsidRDefault="00AC2ED1" w:rsidP="00AC2ED1">
      <w:pPr>
        <w:spacing w:after="0" w:line="240" w:lineRule="auto"/>
        <w:jc w:val="center"/>
        <w:rPr>
          <w:rFonts w:ascii="Times New Roman" w:eastAsia="Times New Roman" w:hAnsi="Times New Roman" w:cs="Times New Roman"/>
          <w:b/>
          <w:bCs/>
          <w:sz w:val="28"/>
          <w:szCs w:val="24"/>
          <w:lang w:val="en-CA"/>
        </w:rPr>
      </w:pPr>
      <w:r w:rsidRPr="00AC2ED1">
        <w:rPr>
          <w:b/>
          <w:sz w:val="24"/>
        </w:rPr>
        <w:t xml:space="preserve">The Critical Participants of Shipbreaking Industry and the Enigma of Inequality in International Law: </w:t>
      </w:r>
      <w:bookmarkStart w:id="0" w:name="_GoBack"/>
      <w:bookmarkEnd w:id="0"/>
      <w:r w:rsidRPr="00AC2ED1">
        <w:rPr>
          <w:b/>
          <w:sz w:val="24"/>
        </w:rPr>
        <w:t>A Perspective from Bangladesh</w:t>
      </w:r>
    </w:p>
    <w:p w14:paraId="56F97A9E" w14:textId="77777777" w:rsidR="00AC2ED1" w:rsidRDefault="00AC2ED1" w:rsidP="00AC2ED1">
      <w:pPr>
        <w:spacing w:after="0" w:line="480" w:lineRule="auto"/>
        <w:jc w:val="both"/>
        <w:rPr>
          <w:rFonts w:ascii="Times New Roman" w:eastAsia="Times New Roman" w:hAnsi="Times New Roman" w:cs="Times New Roman"/>
          <w:b/>
          <w:bCs/>
          <w:sz w:val="24"/>
          <w:szCs w:val="24"/>
          <w:lang w:val="en-CA"/>
        </w:rPr>
      </w:pPr>
    </w:p>
    <w:p w14:paraId="1B97E64F" w14:textId="3D1B2F7C" w:rsidR="00AC2ED1" w:rsidRPr="00AC2ED1" w:rsidRDefault="00AC2ED1" w:rsidP="00AC2ED1">
      <w:pPr>
        <w:spacing w:after="0" w:line="480" w:lineRule="auto"/>
        <w:jc w:val="both"/>
        <w:rPr>
          <w:rFonts w:ascii="Calibri" w:eastAsia="Times New Roman" w:hAnsi="Calibri" w:cs="Calibri"/>
          <w:sz w:val="24"/>
          <w:szCs w:val="24"/>
        </w:rPr>
      </w:pPr>
      <w:r w:rsidRPr="00AC2ED1">
        <w:rPr>
          <w:rFonts w:ascii="Times New Roman" w:eastAsia="Times New Roman" w:hAnsi="Times New Roman" w:cs="Times New Roman"/>
          <w:b/>
          <w:bCs/>
          <w:sz w:val="24"/>
          <w:szCs w:val="24"/>
          <w:lang w:val="en-CA"/>
        </w:rPr>
        <w:t>Abstract:</w:t>
      </w:r>
      <w:r w:rsidRPr="00AC2ED1">
        <w:rPr>
          <w:rFonts w:ascii="Times New Roman" w:eastAsia="Times New Roman" w:hAnsi="Times New Roman" w:cs="Times New Roman"/>
          <w:sz w:val="24"/>
          <w:szCs w:val="24"/>
          <w:lang w:val="en-CA"/>
        </w:rPr>
        <w:t xml:space="preserve"> Stakeholder’s participation towards the end of 20</w:t>
      </w:r>
      <w:r w:rsidRPr="00AC2ED1">
        <w:rPr>
          <w:rFonts w:ascii="Times New Roman" w:eastAsia="Times New Roman" w:hAnsi="Times New Roman" w:cs="Times New Roman"/>
          <w:sz w:val="24"/>
          <w:szCs w:val="24"/>
          <w:vertAlign w:val="superscript"/>
          <w:lang w:val="en-CA"/>
        </w:rPr>
        <w:t>th</w:t>
      </w:r>
      <w:r w:rsidRPr="00AC2ED1">
        <w:rPr>
          <w:rFonts w:ascii="Times New Roman" w:eastAsia="Times New Roman" w:hAnsi="Times New Roman" w:cs="Times New Roman"/>
          <w:sz w:val="24"/>
          <w:szCs w:val="24"/>
          <w:lang w:val="en-CA"/>
        </w:rPr>
        <w:t xml:space="preserve"> Century in national and global constitutive process of authoritative decision making has been widely democratized. All participants both public and private, conveniently classified as nation-states, international governmental organizations, international and domestic courts, NGOs and other associations such as pressure groups, political parties, private organizations and even individuals either individually or as part of any body-corporate or entity play crucial role and perform numerous functions in different contexts and stages of policy and lawmaking. Nation-states remain continually prominent and enjoy the dominance in the making of authoritative and controlling decisions in both national and global level. The media, academic researchers, pressure groups, political parties, even non-state actors of often no formal recognition exert effective influence in a multitude of national and international policy and legal decision making. Members of the civil society and business entities can significantly influence the policy of their governments and even international decisions. However, public authorities both in international and domestic level have measurably failed to establish such a democratic participation in the making of law and policy governing shipbreaking activities which is regarded as a pollution haven and the most dangerous industry in the world. Shipbreaking industry, having traveled from the northern and western developed countries in 1960s via semi-developed European countries in 1970s, is now firmly established mostly in three developing countries; Bangladesh, India and Pakistan. These three countries recycle about 70-80% of the sea going vessels of multinational owners. Its highly dangerous and pollutive character has almost forced the industry to move towards the society of least resistance and least expense who hardly care about human rights and environment.</w:t>
      </w:r>
      <w:r w:rsidRPr="00AC2ED1">
        <w:rPr>
          <w:rFonts w:ascii="Times New Roman" w:eastAsia="Times New Roman" w:hAnsi="Times New Roman" w:cs="Times New Roman"/>
          <w:b/>
          <w:bCs/>
          <w:sz w:val="24"/>
          <w:szCs w:val="24"/>
          <w:lang w:val="en-CA"/>
        </w:rPr>
        <w:t xml:space="preserve"> </w:t>
      </w:r>
      <w:r w:rsidRPr="00AC2ED1">
        <w:rPr>
          <w:rFonts w:ascii="Times New Roman" w:eastAsia="Times New Roman" w:hAnsi="Times New Roman" w:cs="Times New Roman"/>
          <w:sz w:val="24"/>
          <w:szCs w:val="24"/>
          <w:lang w:val="en-CA"/>
        </w:rPr>
        <w:t>Through a doctrinal analysis</w:t>
      </w:r>
      <w:r w:rsidRPr="00AC2ED1">
        <w:rPr>
          <w:rFonts w:ascii="Times New Roman" w:eastAsia="Times New Roman" w:hAnsi="Times New Roman" w:cs="Times New Roman"/>
          <w:b/>
          <w:bCs/>
          <w:sz w:val="24"/>
          <w:szCs w:val="24"/>
          <w:lang w:val="en-CA"/>
        </w:rPr>
        <w:t xml:space="preserve"> </w:t>
      </w:r>
      <w:r w:rsidRPr="00AC2ED1">
        <w:rPr>
          <w:rFonts w:ascii="Times New Roman" w:eastAsia="Times New Roman" w:hAnsi="Times New Roman" w:cs="Times New Roman"/>
          <w:sz w:val="24"/>
          <w:szCs w:val="24"/>
          <w:lang w:val="en-CA"/>
        </w:rPr>
        <w:t xml:space="preserve">of the international </w:t>
      </w:r>
      <w:r w:rsidRPr="00AC2ED1">
        <w:rPr>
          <w:rFonts w:ascii="Times New Roman" w:eastAsia="Times New Roman" w:hAnsi="Times New Roman" w:cs="Times New Roman"/>
          <w:sz w:val="24"/>
          <w:szCs w:val="24"/>
          <w:lang w:val="en-CA"/>
        </w:rPr>
        <w:lastRenderedPageBreak/>
        <w:t xml:space="preserve">and the domestic laws of Bangladesh this paper has attempted to identify the role of critical participants, both national and international level, to address the conflict of interests that arises among the participants in shipbreaking and how effectively the balance was struck in Bangladesh jurisdictions. It has been observed that, in domestic level, the shipbreaking industry and in the international level, the shipping industry, remain the most powerful players in their respective jurisdictions. On the other hand, the decisions taken in the intergovernmental platform have been predominantly led by the shipping companies along with the states having serous shipping interest. The apparent &amp; significant contribution of shipbreaking industry to the economy of poorer nations has inhibited the governments and even the higher courts to take any stronger measures against environmental disaster and labor catastrophe resulting from the shipbreaking activities even in situations, that were highly deserving. The workers are the largest and the most important stakeholder but have the least voice. NGOs have strong presence in protecting the interest of the inanimate environment but owing to the one-sided role of public authorities their efforts have hardly been prominent. The research has ended with recommendations for government as to how to improve its decision-making functions by following a multidimensional decision-making process namely the Analytic Hierarchy Process. </w:t>
      </w:r>
    </w:p>
    <w:p w14:paraId="2D6B34A6" w14:textId="77777777" w:rsidR="00AC2ED1" w:rsidRPr="00AC2ED1" w:rsidRDefault="00AC2ED1" w:rsidP="00AC2ED1">
      <w:pPr>
        <w:spacing w:after="0" w:line="480" w:lineRule="auto"/>
        <w:jc w:val="both"/>
        <w:rPr>
          <w:rFonts w:ascii="Calibri" w:eastAsia="Times New Roman" w:hAnsi="Calibri" w:cs="Calibri"/>
          <w:sz w:val="24"/>
          <w:szCs w:val="24"/>
        </w:rPr>
      </w:pPr>
    </w:p>
    <w:p w14:paraId="04CF96E1" w14:textId="77777777" w:rsidR="00AC2ED1" w:rsidRPr="00AC2ED1" w:rsidRDefault="00AC2ED1" w:rsidP="00AC2ED1">
      <w:pPr>
        <w:spacing w:after="0" w:line="360" w:lineRule="auto"/>
        <w:jc w:val="both"/>
        <w:rPr>
          <w:rFonts w:ascii="Calibri" w:eastAsia="Times New Roman" w:hAnsi="Calibri" w:cs="Calibri"/>
        </w:rPr>
      </w:pPr>
      <w:r w:rsidRPr="00AC2ED1">
        <w:rPr>
          <w:rFonts w:ascii="Times New Roman" w:eastAsia="Times New Roman" w:hAnsi="Times New Roman" w:cs="Times New Roman"/>
          <w:b/>
          <w:bCs/>
          <w:color w:val="0000FF"/>
          <w:sz w:val="30"/>
          <w:szCs w:val="30"/>
          <w:shd w:val="clear" w:color="auto" w:fill="FFFFFF"/>
        </w:rPr>
        <w:t xml:space="preserve">Biography: </w:t>
      </w:r>
      <w:r w:rsidRPr="00AC2ED1">
        <w:rPr>
          <w:rFonts w:ascii="Times New Roman" w:eastAsia="Times New Roman" w:hAnsi="Times New Roman" w:cs="Times New Roman"/>
          <w:color w:val="0000FF"/>
          <w:sz w:val="30"/>
          <w:szCs w:val="30"/>
          <w:shd w:val="clear" w:color="auto" w:fill="FFFFFF"/>
        </w:rPr>
        <w:t>Dr. Ishtiaque Ahmed is the Chairman, Department of Law, North South University, Bangladesh. Along with decades of teaching experience in Maritime law he has substantial industry experience in the Maritime field. He is an ex-certified Merchant Marine Engineer Officer of ocean-going merchant vessel worked onboard ship as 4</w:t>
      </w:r>
      <w:r w:rsidRPr="00AC2ED1">
        <w:rPr>
          <w:rFonts w:ascii="Times New Roman" w:eastAsia="Times New Roman" w:hAnsi="Times New Roman" w:cs="Times New Roman"/>
          <w:color w:val="0000FF"/>
          <w:sz w:val="30"/>
          <w:szCs w:val="30"/>
          <w:shd w:val="clear" w:color="auto" w:fill="FFFFFF"/>
          <w:vertAlign w:val="superscript"/>
        </w:rPr>
        <w:t>th</w:t>
      </w:r>
      <w:r w:rsidRPr="00AC2ED1">
        <w:rPr>
          <w:rFonts w:ascii="Times New Roman" w:eastAsia="Times New Roman" w:hAnsi="Times New Roman" w:cs="Times New Roman"/>
          <w:color w:val="0000FF"/>
          <w:sz w:val="30"/>
          <w:szCs w:val="30"/>
          <w:shd w:val="clear" w:color="auto" w:fill="FFFFFF"/>
        </w:rPr>
        <w:t xml:space="preserve"> &amp; 3</w:t>
      </w:r>
      <w:r w:rsidRPr="00AC2ED1">
        <w:rPr>
          <w:rFonts w:ascii="Times New Roman" w:eastAsia="Times New Roman" w:hAnsi="Times New Roman" w:cs="Times New Roman"/>
          <w:color w:val="0000FF"/>
          <w:sz w:val="30"/>
          <w:szCs w:val="30"/>
          <w:shd w:val="clear" w:color="auto" w:fill="FFFFFF"/>
          <w:vertAlign w:val="superscript"/>
        </w:rPr>
        <w:t>rd</w:t>
      </w:r>
      <w:r w:rsidRPr="00AC2ED1">
        <w:rPr>
          <w:rFonts w:ascii="Times New Roman" w:eastAsia="Times New Roman" w:hAnsi="Times New Roman" w:cs="Times New Roman"/>
          <w:color w:val="0000FF"/>
          <w:sz w:val="30"/>
          <w:szCs w:val="30"/>
          <w:shd w:val="clear" w:color="auto" w:fill="FFFFFF"/>
        </w:rPr>
        <w:t xml:space="preserve"> Engineer Officer in different shipping companies including </w:t>
      </w:r>
      <w:proofErr w:type="spellStart"/>
      <w:r w:rsidRPr="00AC2ED1">
        <w:rPr>
          <w:rFonts w:ascii="Times New Roman" w:eastAsia="Times New Roman" w:hAnsi="Times New Roman" w:cs="Times New Roman"/>
          <w:color w:val="0000FF"/>
          <w:sz w:val="30"/>
          <w:szCs w:val="30"/>
          <w:shd w:val="clear" w:color="auto" w:fill="FFFFFF"/>
        </w:rPr>
        <w:t>Acomarit</w:t>
      </w:r>
      <w:proofErr w:type="spellEnd"/>
      <w:r w:rsidRPr="00AC2ED1">
        <w:rPr>
          <w:rFonts w:ascii="Times New Roman" w:eastAsia="Times New Roman" w:hAnsi="Times New Roman" w:cs="Times New Roman"/>
          <w:color w:val="0000FF"/>
          <w:sz w:val="30"/>
          <w:szCs w:val="30"/>
          <w:shd w:val="clear" w:color="auto" w:fill="FFFFFF"/>
        </w:rPr>
        <w:t xml:space="preserve"> (UK) Limited, Mitsui OSK Lines, Japan and New Asia Shipping Company Ltd Hong Kong from January 1996 to December 1998. Dr. Ahmed has been qualified as a Barrister from England in 2004. He is a licensed Advocate of the Supreme Court of Bangladesh and a member of the Chartered Institute of Arbitrator, England (</w:t>
      </w:r>
      <w:proofErr w:type="spellStart"/>
      <w:r w:rsidRPr="00AC2ED1">
        <w:rPr>
          <w:rFonts w:ascii="Times New Roman" w:eastAsia="Times New Roman" w:hAnsi="Times New Roman" w:cs="Times New Roman"/>
          <w:color w:val="0000FF"/>
          <w:sz w:val="30"/>
          <w:szCs w:val="30"/>
          <w:shd w:val="clear" w:color="auto" w:fill="FFFFFF"/>
        </w:rPr>
        <w:t>CIArb</w:t>
      </w:r>
      <w:proofErr w:type="spellEnd"/>
      <w:r w:rsidRPr="00AC2ED1">
        <w:rPr>
          <w:rFonts w:ascii="Times New Roman" w:eastAsia="Times New Roman" w:hAnsi="Times New Roman" w:cs="Times New Roman"/>
          <w:color w:val="0000FF"/>
          <w:sz w:val="30"/>
          <w:szCs w:val="30"/>
          <w:shd w:val="clear" w:color="auto" w:fill="FFFFFF"/>
        </w:rPr>
        <w:t xml:space="preserve">) since 2010. He published articles on ship recycling in several reputed international journals &amp; presented research paper in </w:t>
      </w:r>
      <w:proofErr w:type="gramStart"/>
      <w:r w:rsidRPr="00AC2ED1">
        <w:rPr>
          <w:rFonts w:ascii="Times New Roman" w:eastAsia="Times New Roman" w:hAnsi="Times New Roman" w:cs="Times New Roman"/>
          <w:color w:val="0000FF"/>
          <w:sz w:val="30"/>
          <w:szCs w:val="30"/>
          <w:shd w:val="clear" w:color="auto" w:fill="FFFFFF"/>
        </w:rPr>
        <w:t>a number of</w:t>
      </w:r>
      <w:proofErr w:type="gramEnd"/>
      <w:r w:rsidRPr="00AC2ED1">
        <w:rPr>
          <w:rFonts w:ascii="Times New Roman" w:eastAsia="Times New Roman" w:hAnsi="Times New Roman" w:cs="Times New Roman"/>
          <w:color w:val="0000FF"/>
          <w:sz w:val="30"/>
          <w:szCs w:val="30"/>
          <w:shd w:val="clear" w:color="auto" w:fill="FFFFFF"/>
        </w:rPr>
        <w:t xml:space="preserve"> International Conferences organized by prestigious universities and organizations around the world. He completed his J.S.D (Doctor of the Science of Law) from Maine Law, USA in 2018 with specialization in International Maritime Law and Policy. He is a Non-Resident Visiting Scholar and an Affiliated Faculty at the Center for Oceans &amp; Coastal Law, University of Maine School of Law, USA. Dr. Ahmed has been working as ‘IMO National Consultant (Legal) in Bangladesh in SENSREC project since August 2018. </w:t>
      </w:r>
    </w:p>
    <w:p w14:paraId="2ADBEFA9" w14:textId="77777777" w:rsidR="00AC2ED1" w:rsidRPr="00AC2ED1" w:rsidRDefault="00AC2ED1" w:rsidP="00AC2ED1">
      <w:pPr>
        <w:spacing w:after="0" w:line="360" w:lineRule="auto"/>
        <w:jc w:val="both"/>
        <w:rPr>
          <w:rFonts w:ascii="Calibri" w:eastAsia="Times New Roman" w:hAnsi="Calibri" w:cs="Calibri"/>
        </w:rPr>
      </w:pPr>
    </w:p>
    <w:p w14:paraId="2E4F12A9" w14:textId="77777777" w:rsidR="0013319E" w:rsidRDefault="0013319E"/>
    <w:sectPr w:rsidR="00133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3B"/>
    <w:rsid w:val="00066753"/>
    <w:rsid w:val="000D23AD"/>
    <w:rsid w:val="0013319E"/>
    <w:rsid w:val="0077181F"/>
    <w:rsid w:val="008B483B"/>
    <w:rsid w:val="009F5011"/>
    <w:rsid w:val="00AC2ED1"/>
    <w:rsid w:val="00C240B5"/>
    <w:rsid w:val="00D739F6"/>
    <w:rsid w:val="00DF647C"/>
    <w:rsid w:val="00E36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5E988"/>
  <w15:chartTrackingRefBased/>
  <w15:docId w15:val="{E1904EBC-35EB-4FD3-9A64-046CBD54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Ishtiaque Ahmed</dc:creator>
  <cp:keywords/>
  <dc:description/>
  <cp:lastModifiedBy>Ishtiaque Ahmed</cp:lastModifiedBy>
  <cp:revision>2</cp:revision>
  <dcterms:created xsi:type="dcterms:W3CDTF">2020-01-10T20:55:00Z</dcterms:created>
  <dcterms:modified xsi:type="dcterms:W3CDTF">2020-01-10T20:55:00Z</dcterms:modified>
</cp:coreProperties>
</file>