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Times New Roman" w:cs="Times New Roman" w:hAnsi="Times New Roman"/>
          <w:b/>
          <w:bCs/>
          <w:color w:val="8db3e2"/>
          <w:sz w:val="28"/>
          <w:szCs w:val="28"/>
        </w:rPr>
      </w:pPr>
      <w:r>
        <w:rPr>
          <w:rFonts w:ascii="Times New Roman" w:cs="Times New Roman" w:hAnsi="Times New Roman"/>
          <w:b/>
          <w:bCs/>
          <w:color w:val="8db3e2"/>
          <w:sz w:val="28"/>
          <w:szCs w:val="28"/>
        </w:rPr>
        <w:t>Variation in oxidative stress parameters after subchronic exposure to a lambda cyhal</w:t>
      </w:r>
      <w:r>
        <w:rPr>
          <w:rFonts w:ascii="Times New Roman" w:cs="Times New Roman" w:hAnsi="Times New Roman"/>
          <w:b/>
          <w:bCs/>
          <w:color w:val="8db3e2"/>
          <w:sz w:val="28"/>
          <w:szCs w:val="28"/>
        </w:rPr>
        <w:t>othrin pesticide in WISTAR rats</w:t>
      </w:r>
    </w:p>
    <w:p>
      <w:pPr>
        <w:pStyle w:val="style0"/>
        <w:jc w:val="center"/>
        <w:rPr>
          <w:rFonts w:ascii="Times New Roman" w:cs="Times New Roman" w:hAnsi="Times New Roman"/>
          <w:b/>
          <w:bCs/>
          <w:color w:val="548dd4"/>
          <w:sz w:val="18"/>
          <w:szCs w:val="18"/>
        </w:rPr>
      </w:pPr>
    </w:p>
    <w:p>
      <w:pPr>
        <w:pStyle w:val="style66"/>
        <w:spacing w:before="73" w:lineRule="exact" w:line="198"/>
        <w:ind w:left="100" w:right="5987"/>
        <w:rPr>
          <w:rFonts w:ascii="Arial"/>
        </w:rPr>
      </w:pPr>
      <w:r>
        <w:rPr>
          <w:rFonts w:ascii="Arial"/>
        </w:rPr>
        <w:t>Mr AYACHI.A,</w:t>
      </w:r>
      <w:r>
        <w:rPr>
          <w:rFonts w:ascii="Arial"/>
        </w:rPr>
        <w:t xml:space="preserve"> </w:t>
      </w:r>
      <w:r>
        <w:rPr>
          <w:rFonts w:ascii="Arial"/>
        </w:rPr>
        <w:t>University of tebessa</w:t>
      </w:r>
      <w:r>
        <w:rPr>
          <w:rFonts w:ascii="Arial"/>
        </w:rPr>
        <w:t xml:space="preserve">, </w:t>
      </w:r>
      <w:r>
        <w:rPr>
          <w:rFonts w:ascii="Arial"/>
        </w:rPr>
        <w:t>ALG</w:t>
      </w:r>
    </w:p>
    <w:bookmarkStart w:id="0" w:name="_GoBack"/>
    <w:bookmarkEnd w:id="0"/>
    <w:p>
      <w:pPr>
        <w:pStyle w:val="style66"/>
        <w:rPr>
          <w:rFonts w:ascii="Arial"/>
          <w:sz w:val="20"/>
        </w:rPr>
      </w:pPr>
    </w:p>
    <w:p>
      <w:pPr>
        <w:pStyle w:val="style66"/>
        <w:spacing w:before="3"/>
        <w:rPr>
          <w:rFonts w:ascii="Arial"/>
          <w:sz w:val="21"/>
        </w:rPr>
      </w:pPr>
    </w:p>
    <w:p>
      <w:pPr>
        <w:pStyle w:val="style0"/>
        <w:rPr>
          <w:rFonts w:ascii="Arial"/>
          <w:sz w:val="2"/>
          <w:szCs w:val="2"/>
        </w:rPr>
        <w:sectPr>
          <w:headerReference w:type="default" r:id="rId2"/>
          <w:footerReference w:type="default" r:id="rId3"/>
          <w:type w:val="continuous"/>
          <w:pgSz w:w="11910" w:h="16840" w:orient="portrait"/>
          <w:pgMar w:top="1134" w:right="600" w:bottom="840" w:left="620" w:header="113" w:footer="283" w:gutter="0"/>
          <w:cols w:space="720"/>
          <w:docGrid w:linePitch="299"/>
        </w:sectPr>
      </w:pPr>
    </w:p>
    <w:p>
      <w:pPr>
        <w:pStyle w:val="style3"/>
        <w:spacing w:before="147"/>
        <w:jc w:val="both"/>
        <w:rPr>
          <w:color w:val="bf5a14"/>
        </w:rPr>
      </w:pPr>
      <w:r>
        <w:rPr>
          <w:color w:val="bf5a14"/>
        </w:rPr>
        <w:t>Abstract</w:t>
      </w:r>
      <w:r>
        <w:rPr>
          <w:color w:val="bf5a14"/>
        </w:rPr>
        <w:t xml:space="preserve"> </w:t>
      </w:r>
    </w:p>
    <w:p>
      <w:pPr>
        <w:pStyle w:val="style3"/>
        <w:spacing w:before="147"/>
        <w:jc w:val="both"/>
        <w:rPr>
          <w:color w:val="bf5a14"/>
        </w:rPr>
      </w:pPr>
    </w:p>
    <w:p>
      <w:pPr>
        <w:pStyle w:val="style0"/>
        <w:rPr>
          <w:rFonts w:cs="Times New Roman"/>
          <w:sz w:val="20"/>
          <w:szCs w:val="20"/>
        </w:rPr>
      </w:pPr>
      <w:r>
        <w:rPr>
          <w:rFonts w:cs="Times New Roman"/>
          <w:sz w:val="20"/>
          <w:szCs w:val="20"/>
        </w:rPr>
        <w:t>Lambda cyhalothrin is a synthetic pyrethroid insecticide, which is increasingly used in agriculture and home pest control. Our experimental study was carried out on 18 male WISTAR rats (Rattus rattus) divided into three groups: group A (06 rats) control, group B (06 rats) treated with LCT (05 mg / kg / day), group C (06 rats) treated with LCT (10 mg / kg / day) administered orally for 90 days The present work involves the evaluation of the potential toxicity of LCT on the kidneys of rats and the variation of some on oxidative stress parameters. The results obtained after the administration of LCT show that it has caused a generally prooxidizing effect, this is revealed by the reduction of the reduced glutathione level GSH and the enzymatic activity of the glutathione peroxidase GPx and catalase CAT in the kidneys and also by increasing the enzymatic activity of glutathione-S-transferase GST and the level of MDA in treated rats with different doses compared to controls. All of these results are signs of possible nephrotoxicity.</w:t>
      </w:r>
    </w:p>
    <w:p>
      <w:pPr>
        <w:pStyle w:val="style0"/>
        <w:rPr>
          <w:rFonts w:cs="Times New Roman"/>
          <w:sz w:val="20"/>
          <w:szCs w:val="20"/>
        </w:rPr>
      </w:pPr>
    </w:p>
    <w:p>
      <w:pPr>
        <w:pStyle w:val="style0"/>
        <w:rPr>
          <w:rFonts w:cs="Times New Roman"/>
          <w:sz w:val="20"/>
          <w:szCs w:val="20"/>
        </w:rPr>
      </w:pPr>
      <w:r>
        <w:rPr>
          <w:rFonts w:cs="Times New Roman"/>
          <w:b/>
          <w:bCs/>
          <w:sz w:val="20"/>
          <w:szCs w:val="20"/>
        </w:rPr>
        <w:t>Key words</w:t>
      </w:r>
      <w:r>
        <w:rPr>
          <w:rFonts w:cs="Times New Roman"/>
          <w:sz w:val="20"/>
          <w:szCs w:val="20"/>
        </w:rPr>
        <w:t>: pyrethroid, lambda cyhalothrin LCT, oxidative stress, GPx, CAT, Rattus rattus, nephrotoxicity.</w:t>
      </w:r>
    </w:p>
    <w:p>
      <w:pPr>
        <w:pStyle w:val="style0"/>
        <w:rPr>
          <w:rFonts w:cs="Times New Roman"/>
          <w:sz w:val="20"/>
          <w:szCs w:val="20"/>
        </w:rPr>
      </w:pPr>
    </w:p>
    <w:p>
      <w:pPr>
        <w:pStyle w:val="style0"/>
        <w:rPr>
          <w:rFonts w:cs="Times New Roman"/>
          <w:sz w:val="20"/>
          <w:szCs w:val="20"/>
        </w:rPr>
      </w:pPr>
    </w:p>
    <w:p>
      <w:pPr>
        <w:pStyle w:val="style3"/>
        <w:spacing w:before="74"/>
        <w:rPr>
          <w:color w:val="bf5a14"/>
        </w:rPr>
      </w:pPr>
      <w:r>
        <w:rPr>
          <w:b w:val="false"/>
        </w:rPr>
        <w:br w:type="column"/>
      </w:r>
      <w:r>
        <w:rPr>
          <w:color w:val="bf5a14"/>
        </w:rPr>
        <w:t>Image</w:t>
      </w:r>
    </w:p>
    <w:p>
      <w:pPr>
        <w:pStyle w:val="style3"/>
        <w:spacing w:before="74"/>
        <w:rPr/>
      </w:pPr>
    </w:p>
    <w:p>
      <w:pPr>
        <w:pStyle w:val="style66"/>
        <w:spacing w:before="2"/>
        <w:jc w:val="center"/>
        <w:rPr>
          <w:rFonts w:ascii="Arial"/>
          <w:b/>
          <w:sz w:val="16"/>
        </w:rPr>
      </w:pPr>
      <w:r>
        <w:rPr>
          <w:noProof/>
          <w:lang w:val="fr-FR" w:eastAsia="fr-FR"/>
        </w:rPr>
        <w:drawing>
          <wp:inline distL="0" distT="0" distB="0" distR="0">
            <wp:extent cx="1895475" cy="1447800"/>
            <wp:effectExtent l="0" t="0" r="0" b="0"/>
            <wp:docPr id="1026" name="Imag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2"/>
                    <pic:cNvPicPr/>
                  </pic:nvPicPr>
                  <pic:blipFill>
                    <a:blip r:embed="rId4" cstate="print"/>
                    <a:srcRect l="0" t="0" r="0" b="0"/>
                    <a:stretch/>
                  </pic:blipFill>
                  <pic:spPr>
                    <a:xfrm rot="0">
                      <a:off x="0" y="0"/>
                      <a:ext cx="1895475" cy="1447800"/>
                    </a:xfrm>
                    <a:prstGeom prst="rect"/>
                    <a:ln>
                      <a:noFill/>
                    </a:ln>
                  </pic:spPr>
                </pic:pic>
              </a:graphicData>
            </a:graphic>
          </wp:inline>
        </w:drawing>
      </w:r>
    </w:p>
    <w:p>
      <w:pPr>
        <w:pStyle w:val="style0"/>
        <w:spacing w:lineRule="exact" w:line="204"/>
        <w:jc w:val="center"/>
        <w:rPr>
          <w:b/>
          <w:color w:val="bf5a14"/>
          <w:sz w:val="20"/>
        </w:rPr>
      </w:pPr>
      <w:r>
        <w:rPr>
          <w:rFonts w:ascii="Arial"/>
          <w:b/>
          <w:color w:val="bf5a14"/>
          <w:sz w:val="20"/>
        </w:rPr>
        <w:br/>
      </w:r>
      <w:r>
        <w:rPr>
          <w:b/>
          <w:sz w:val="16"/>
          <w:szCs w:val="18"/>
        </w:rPr>
        <w:t>Figure</w:t>
      </w:r>
      <w:r>
        <w:rPr>
          <w:b/>
          <w:sz w:val="16"/>
          <w:szCs w:val="18"/>
        </w:rPr>
        <w:t>. General presentation concludes the nephrotoxic effects of lambda cyhalothrin on rat kidneys.</w:t>
      </w:r>
    </w:p>
    <w:p>
      <w:pPr>
        <w:pStyle w:val="style0"/>
        <w:spacing w:lineRule="exact" w:line="204"/>
        <w:rPr>
          <w:rFonts w:ascii="Arial"/>
          <w:b/>
          <w:color w:val="bf5a14"/>
          <w:sz w:val="20"/>
        </w:rPr>
      </w:pPr>
    </w:p>
    <w:p>
      <w:pPr>
        <w:pStyle w:val="style0"/>
        <w:spacing w:lineRule="exact" w:line="204"/>
        <w:rPr>
          <w:rFonts w:ascii="Arial"/>
          <w:b/>
          <w:color w:val="bf5a14"/>
          <w:sz w:val="20"/>
        </w:rPr>
      </w:pPr>
      <w:r>
        <w:rPr>
          <w:rFonts w:ascii="Arial"/>
          <w:b/>
          <w:color w:val="bf5a14"/>
          <w:sz w:val="20"/>
        </w:rPr>
        <w:t xml:space="preserve">Recent Publications </w:t>
      </w:r>
    </w:p>
    <w:bookmarkStart w:id="1" w:name="baep-author-id5"/>
    <w:p>
      <w:pPr>
        <w:pStyle w:val="style2"/>
        <w:keepNext/>
        <w:keepLines/>
        <w:widowControl/>
        <w:numPr>
          <w:ilvl w:val="0"/>
          <w:numId w:val="1"/>
        </w:numPr>
        <w:spacing w:before="200" w:lineRule="auto" w:line="360"/>
        <w:textAlignment w:val="center"/>
        <w:rPr>
          <w:rFonts w:ascii="Tw Cen MT" w:cs="Calibri" w:hAnsi="Tw Cen MT"/>
          <w:b/>
          <w:bCs/>
          <w:sz w:val="14"/>
          <w:szCs w:val="14"/>
        </w:rPr>
      </w:pPr>
      <w:r>
        <w:rPr>
          <w:rFonts w:ascii="Tw Cen MT" w:cs="Calibri" w:hAnsi="Tw Cen MT"/>
          <w:sz w:val="14"/>
          <w:szCs w:val="14"/>
          <w:lang w:val="fr-FR"/>
        </w:rPr>
        <w:t>Fe</w:t>
      </w:r>
      <w:r>
        <w:rPr>
          <w:rFonts w:ascii="Tw Cen MT" w:cs="Calibri" w:hAnsi="Tw Cen MT"/>
          <w:sz w:val="14"/>
          <w:szCs w:val="14"/>
          <w:lang w:val="fr-FR"/>
        </w:rPr>
        <w:t>t</w:t>
      </w:r>
      <w:r>
        <w:rPr>
          <w:rFonts w:ascii="Tw Cen MT" w:cs="Calibri" w:hAnsi="Tw Cen MT"/>
          <w:sz w:val="14"/>
          <w:szCs w:val="14"/>
          <w:lang w:val="fr-FR"/>
        </w:rPr>
        <w:t xml:space="preserve">oui, H., Makni, M., Garoui, M. et Zeghal, N. (2010). </w:t>
      </w:r>
      <w:bookmarkEnd w:id="1"/>
      <w:r>
        <w:rPr>
          <w:rFonts w:ascii="Tw Cen MT" w:cs="Calibri" w:eastAsia="Times New Roman" w:hAnsi="Tw Cen MT"/>
          <w:kern w:val="36"/>
          <w:sz w:val="14"/>
          <w:szCs w:val="14"/>
          <w:lang w:eastAsia="fr-FR"/>
        </w:rPr>
        <w:t>Toxic effects of lambda-cyhalothrin, a synthetic pyrethroid pesticide on the rat kidney: Involvement of oxidative stress and protective role of ascorbic acid.</w:t>
      </w:r>
      <w:r>
        <w:rPr>
          <w:rFonts w:ascii="Tw Cen MT" w:cs="Calibri" w:hAnsi="Tw Cen MT"/>
          <w:sz w:val="14"/>
          <w:szCs w:val="14"/>
        </w:rPr>
        <w:t xml:space="preserve"> </w:t>
      </w:r>
      <w:r>
        <w:rPr/>
        <w:fldChar w:fldCharType="begin"/>
      </w:r>
      <w:r>
        <w:instrText xml:space="preserve"> HYPERLINK "https://www.sciencedirect.com/science/journal/09402993" \o "Go to Experimental and Toxicologic Pathology on ScienceDirect" </w:instrText>
      </w:r>
      <w:r>
        <w:rPr/>
        <w:fldChar w:fldCharType="separate"/>
      </w:r>
      <w:r>
        <w:rPr>
          <w:rStyle w:val="style85"/>
          <w:rFonts w:ascii="Tw Cen MT" w:cs="Calibri" w:hAnsi="Tw Cen MT"/>
          <w:color w:val="auto"/>
          <w:sz w:val="14"/>
          <w:szCs w:val="14"/>
          <w:u w:val="none"/>
        </w:rPr>
        <w:t xml:space="preserve">Experimental and </w:t>
      </w:r>
      <w:r>
        <w:rPr>
          <w:rStyle w:val="style85"/>
          <w:rFonts w:ascii="Tw Cen MT" w:cs="Calibri" w:hAnsi="Tw Cen MT"/>
          <w:color w:val="auto"/>
          <w:sz w:val="14"/>
          <w:szCs w:val="14"/>
          <w:u w:val="none"/>
        </w:rPr>
        <w:t>Toxicologic</w:t>
      </w:r>
      <w:r>
        <w:rPr>
          <w:rStyle w:val="style85"/>
          <w:rFonts w:ascii="Tw Cen MT" w:cs="Calibri" w:hAnsi="Tw Cen MT"/>
          <w:color w:val="auto"/>
          <w:sz w:val="14"/>
          <w:szCs w:val="14"/>
          <w:u w:val="none"/>
        </w:rPr>
        <w:t xml:space="preserve"> </w:t>
      </w:r>
      <w:r>
        <w:rPr>
          <w:rStyle w:val="style85"/>
          <w:rFonts w:ascii="Tw Cen MT" w:cs="Calibri" w:hAnsi="Tw Cen MT"/>
          <w:color w:val="auto"/>
          <w:sz w:val="14"/>
          <w:szCs w:val="14"/>
          <w:u w:val="none"/>
        </w:rPr>
        <w:t>Pathology</w:t>
      </w:r>
      <w:r>
        <w:rPr/>
        <w:fldChar w:fldCharType="end"/>
      </w:r>
      <w:r>
        <w:rPr>
          <w:rFonts w:ascii="Tw Cen MT" w:cs="Calibri" w:hAnsi="Tw Cen MT"/>
          <w:sz w:val="14"/>
          <w:szCs w:val="14"/>
        </w:rPr>
        <w:t>,</w:t>
      </w:r>
      <w:r>
        <w:rPr>
          <w:rFonts w:ascii="Tw Cen MT" w:cs="Calibri" w:hAnsi="Tw Cen MT"/>
          <w:b/>
          <w:bCs/>
          <w:sz w:val="14"/>
          <w:szCs w:val="14"/>
        </w:rPr>
        <w:fldChar w:fldCharType="begin"/>
      </w:r>
      <w:r>
        <w:rPr>
          <w:rFonts w:ascii="Tw Cen MT" w:cs="Calibri" w:hAnsi="Tw Cen MT"/>
          <w:sz w:val="14"/>
          <w:szCs w:val="14"/>
        </w:rPr>
        <w:instrText xml:space="preserve"> HYPERLINK "https://www.sciencedirect.com/science/journal/09402993/62/6" \o "Go to table of contents for this volume/issue" </w:instrText>
      </w:r>
      <w:r>
        <w:rPr>
          <w:rFonts w:ascii="Tw Cen MT" w:cs="Calibri" w:hAnsi="Tw Cen MT"/>
          <w:b/>
          <w:bCs/>
          <w:sz w:val="14"/>
          <w:szCs w:val="14"/>
        </w:rPr>
        <w:fldChar w:fldCharType="separate"/>
      </w:r>
      <w:r>
        <w:rPr>
          <w:rStyle w:val="style85"/>
          <w:rFonts w:ascii="Tw Cen MT" w:cs="Calibri" w:hAnsi="Tw Cen MT"/>
          <w:color w:val="auto"/>
          <w:sz w:val="14"/>
          <w:szCs w:val="14"/>
          <w:u w:val="none"/>
        </w:rPr>
        <w:t>Volume</w:t>
      </w:r>
      <w:r>
        <w:rPr>
          <w:rStyle w:val="style85"/>
          <w:rFonts w:ascii="Tw Cen MT" w:cs="Calibri" w:hAnsi="Tw Cen MT"/>
          <w:color w:val="auto"/>
          <w:sz w:val="14"/>
          <w:szCs w:val="14"/>
          <w:u w:val="none"/>
        </w:rPr>
        <w:t xml:space="preserve"> 62(6)</w:t>
      </w:r>
      <w:r>
        <w:rPr>
          <w:rFonts w:ascii="Tw Cen MT" w:cs="Calibri" w:hAnsi="Tw Cen MT"/>
          <w:b/>
          <w:bCs/>
          <w:sz w:val="14"/>
          <w:szCs w:val="14"/>
        </w:rPr>
        <w:fldChar w:fldCharType="end"/>
      </w:r>
      <w:r>
        <w:rPr>
          <w:rFonts w:ascii="Tw Cen MT" w:cs="Calibri" w:hAnsi="Tw Cen MT"/>
          <w:sz w:val="14"/>
          <w:szCs w:val="14"/>
        </w:rPr>
        <w:t xml:space="preserve">, 593-599. doi : </w:t>
      </w:r>
      <w:r>
        <w:rPr/>
        <w:fldChar w:fldCharType="begin"/>
      </w:r>
      <w:r>
        <w:instrText xml:space="preserve"> HYPERLINK "https://doi.org/10.1016/j.etp.2009.08.004" \t "_blank" \o "Persistent link using digital object identifier" </w:instrText>
      </w:r>
      <w:r>
        <w:rPr/>
        <w:fldChar w:fldCharType="separate"/>
      </w:r>
      <w:r>
        <w:rPr>
          <w:rStyle w:val="style85"/>
          <w:rFonts w:ascii="Tw Cen MT" w:cs="Calibri" w:hAnsi="Tw Cen MT"/>
          <w:color w:val="auto"/>
          <w:sz w:val="14"/>
          <w:szCs w:val="14"/>
          <w:u w:val="none"/>
        </w:rPr>
        <w:t>10.1016/j.etp.2009.08.004</w:t>
      </w:r>
      <w:r>
        <w:rPr/>
        <w:fldChar w:fldCharType="end"/>
      </w:r>
      <w:r>
        <w:rPr>
          <w:rFonts w:ascii="Tw Cen MT" w:cs="Calibri" w:hAnsi="Tw Cen MT"/>
          <w:sz w:val="14"/>
          <w:szCs w:val="14"/>
        </w:rPr>
        <w:t>.</w:t>
      </w:r>
    </w:p>
    <w:p>
      <w:pPr>
        <w:pStyle w:val="style179"/>
        <w:widowControl/>
        <w:numPr>
          <w:ilvl w:val="0"/>
          <w:numId w:val="1"/>
        </w:numPr>
        <w:spacing w:before="0" w:after="200" w:lineRule="auto" w:line="360"/>
        <w:contextualSpacing/>
        <w:rPr>
          <w:rFonts w:ascii="Tw Cen MT" w:cs="Times New Roman" w:hAnsi="Tw Cen MT"/>
          <w:sz w:val="14"/>
          <w:szCs w:val="14"/>
        </w:rPr>
      </w:pPr>
      <w:r>
        <w:rPr>
          <w:rFonts w:ascii="Tw Cen MT" w:cs="Times New Roman" w:hAnsi="Tw Cen MT"/>
          <w:sz w:val="14"/>
          <w:szCs w:val="14"/>
        </w:rPr>
        <w:t xml:space="preserve">Leila, </w:t>
      </w:r>
      <w:r>
        <w:rPr>
          <w:rFonts w:ascii="Tw Cen MT" w:cs="Times New Roman" w:hAnsi="Tw Cen MT"/>
          <w:sz w:val="14"/>
          <w:szCs w:val="14"/>
        </w:rPr>
        <w:t>hocine.</w:t>
      </w:r>
      <w:r>
        <w:rPr>
          <w:rFonts w:ascii="Tw Cen MT" w:cs="Times New Roman" w:hAnsi="Tw Cen MT"/>
          <w:sz w:val="14"/>
          <w:szCs w:val="14"/>
        </w:rPr>
        <w:t xml:space="preserve"> hafida, merzouk., </w:t>
      </w:r>
      <w:r>
        <w:rPr>
          <w:rFonts w:ascii="Tw Cen MT" w:cs="Times New Roman" w:hAnsi="Tw Cen MT"/>
          <w:sz w:val="14"/>
          <w:szCs w:val="14"/>
        </w:rPr>
        <w:t>Sid</w:t>
      </w:r>
      <w:r>
        <w:rPr>
          <w:rFonts w:ascii="Tw Cen MT" w:cs="Times New Roman" w:hAnsi="Tw Cen MT"/>
          <w:sz w:val="14"/>
          <w:szCs w:val="14"/>
        </w:rPr>
        <w:t xml:space="preserve"> </w:t>
      </w:r>
      <w:r>
        <w:rPr>
          <w:rFonts w:ascii="Tw Cen MT" w:cs="Times New Roman" w:hAnsi="Tw Cen MT"/>
          <w:sz w:val="14"/>
          <w:szCs w:val="14"/>
        </w:rPr>
        <w:t>Ahmed</w:t>
      </w:r>
      <w:r>
        <w:rPr>
          <w:rFonts w:ascii="Tw Cen MT" w:cs="Times New Roman" w:hAnsi="Tw Cen MT"/>
          <w:sz w:val="14"/>
          <w:szCs w:val="14"/>
        </w:rPr>
        <w:t xml:space="preserve">, merzouk., hafeda, ghorzi., meriem, youbi., mechel, nacre. (2016). the effects of alpha-cypermethrin exposure on biochemical and redox parameters in pregnant rats and their </w:t>
      </w:r>
      <w:r>
        <w:rPr>
          <w:rFonts w:ascii="Tw Cen MT" w:cs="Times New Roman" w:hAnsi="Tw Cen MT"/>
          <w:sz w:val="14"/>
          <w:szCs w:val="14"/>
        </w:rPr>
        <w:t>nweborns,</w:t>
      </w:r>
      <w:r>
        <w:rPr>
          <w:rFonts w:ascii="Tw Cen MT" w:cs="Times New Roman" w:hAnsi="Tw Cen MT"/>
          <w:sz w:val="14"/>
          <w:szCs w:val="14"/>
        </w:rPr>
        <w:t xml:space="preserve"> pesticides biochemistry and </w:t>
      </w:r>
      <w:r>
        <w:rPr>
          <w:rFonts w:ascii="Tw Cen MT" w:cs="Times New Roman" w:hAnsi="Tw Cen MT"/>
          <w:sz w:val="14"/>
          <w:szCs w:val="14"/>
        </w:rPr>
        <w:t>physiology,</w:t>
      </w:r>
      <w:r>
        <w:rPr>
          <w:rFonts w:ascii="Tw Cen MT" w:cs="Times New Roman" w:hAnsi="Tw Cen MT"/>
          <w:sz w:val="14"/>
          <w:szCs w:val="14"/>
        </w:rPr>
        <w:t xml:space="preserve"> 134:49-54.</w:t>
      </w:r>
    </w:p>
    <w:p>
      <w:pPr>
        <w:pStyle w:val="style2"/>
        <w:keepNext/>
        <w:keepLines/>
        <w:widowControl/>
        <w:numPr>
          <w:ilvl w:val="0"/>
          <w:numId w:val="1"/>
        </w:numPr>
        <w:spacing w:before="200" w:lineRule="auto" w:line="360"/>
        <w:textAlignment w:val="center"/>
        <w:rPr>
          <w:rFonts w:ascii="Tw Cen MT" w:cs="Calibri" w:hAnsi="Tw Cen MT"/>
          <w:sz w:val="14"/>
          <w:szCs w:val="14"/>
        </w:rPr>
      </w:pPr>
      <w:r>
        <w:rPr>
          <w:rFonts w:ascii="Tw Cen MT" w:cs="Calibri" w:hAnsi="Tw Cen MT"/>
          <w:sz w:val="14"/>
          <w:szCs w:val="14"/>
        </w:rPr>
        <w:t xml:space="preserve">Lachref, </w:t>
      </w:r>
      <w:r>
        <w:rPr>
          <w:rFonts w:ascii="Tw Cen MT" w:cs="Calibri" w:hAnsi="Tw Cen MT"/>
          <w:sz w:val="14"/>
          <w:szCs w:val="14"/>
        </w:rPr>
        <w:t>Asma.</w:t>
      </w:r>
      <w:r>
        <w:rPr>
          <w:rFonts w:ascii="Tw Cen MT" w:cs="Calibri" w:hAnsi="Tw Cen MT"/>
          <w:sz w:val="14"/>
          <w:szCs w:val="14"/>
        </w:rPr>
        <w:t xml:space="preserve"> Bouallaga, Imane. (2018). </w:t>
      </w:r>
      <w:r>
        <w:rPr>
          <w:rFonts w:ascii="Tw Cen MT" w:cs="Calibri" w:hAnsi="Tw Cen MT"/>
          <w:sz w:val="14"/>
          <w:szCs w:val="14"/>
        </w:rPr>
        <w:t>the</w:t>
      </w:r>
      <w:r>
        <w:rPr>
          <w:rFonts w:ascii="Tw Cen MT" w:cs="Calibri" w:hAnsi="Tw Cen MT"/>
          <w:sz w:val="14"/>
          <w:szCs w:val="14"/>
        </w:rPr>
        <w:t xml:space="preserve"> antioxidant and antitoxic effect by bioactive substances of Coriandrum sativum L. in albino Wistar rats intoxicated by Lambda-cyhalothrin. </w:t>
      </w:r>
      <w:r>
        <w:rPr>
          <w:rFonts w:ascii="Tw Cen MT" w:cs="Calibri" w:hAnsi="Tw Cen MT"/>
          <w:sz w:val="14"/>
          <w:szCs w:val="14"/>
        </w:rPr>
        <w:t>End</w:t>
      </w:r>
      <w:r>
        <w:rPr>
          <w:rFonts w:ascii="Tw Cen MT" w:cs="Calibri" w:hAnsi="Tw Cen MT"/>
          <w:sz w:val="14"/>
          <w:szCs w:val="14"/>
        </w:rPr>
        <w:t xml:space="preserve"> of study memory. Echahid Hamma Lakhdar University - ELOUED: Applied Biochemistry. from: http: //dspace.univ eloued.dz/handle/123456789/1061</w:t>
      </w:r>
    </w:p>
    <w:p>
      <w:pPr>
        <w:pStyle w:val="style179"/>
        <w:widowControl/>
        <w:numPr>
          <w:ilvl w:val="0"/>
          <w:numId w:val="1"/>
        </w:numPr>
        <w:spacing w:before="0" w:after="200" w:lineRule="auto" w:line="360"/>
        <w:contextualSpacing/>
        <w:rPr>
          <w:rFonts w:ascii="Tw Cen MT" w:cs="Times New Roman" w:hAnsi="Tw Cen MT"/>
          <w:sz w:val="14"/>
          <w:szCs w:val="14"/>
        </w:rPr>
      </w:pPr>
      <w:r>
        <w:rPr>
          <w:rFonts w:ascii="Tw Cen MT" w:cs="Times New Roman" w:hAnsi="Tw Cen MT"/>
          <w:sz w:val="14"/>
          <w:szCs w:val="14"/>
        </w:rPr>
        <w:t xml:space="preserve">Moustafa, A.Abbassy., Mamdouh, A.Marzouk., Sameeh, A.Mansour., Hassan, A.Shaldam. </w:t>
      </w:r>
      <w:r>
        <w:rPr>
          <w:rFonts w:ascii="Tw Cen MT" w:cs="Times New Roman" w:hAnsi="Tw Cen MT"/>
          <w:sz w:val="14"/>
          <w:szCs w:val="14"/>
        </w:rPr>
        <w:t>And</w:t>
      </w:r>
      <w:r>
        <w:rPr>
          <w:rFonts w:ascii="Tw Cen MT" w:cs="Times New Roman" w:hAnsi="Tw Cen MT"/>
          <w:sz w:val="14"/>
          <w:szCs w:val="14"/>
        </w:rPr>
        <w:t xml:space="preserve"> Abdel-Tawab, H.Mossa. (2014). Impact of Oxidative Stress and Lipid Peroxidation Induced by Lambdacyhalothrin on P450 in Male Rats: The Ameliorating Effect of </w:t>
      </w:r>
      <w:r>
        <w:rPr>
          <w:rFonts w:ascii="Tw Cen MT" w:cs="Times New Roman" w:hAnsi="Tw Cen MT"/>
          <w:sz w:val="14"/>
          <w:szCs w:val="14"/>
        </w:rPr>
        <w:t>Zinc,</w:t>
      </w:r>
      <w:r>
        <w:rPr>
          <w:rFonts w:ascii="Tw Cen MT" w:cs="Times New Roman" w:hAnsi="Tw Cen MT"/>
          <w:sz w:val="14"/>
          <w:szCs w:val="14"/>
        </w:rPr>
        <w:t xml:space="preserve"> Environmental  Analytical Toxicology:4:4.</w:t>
      </w:r>
    </w:p>
    <w:p>
      <w:pPr>
        <w:pStyle w:val="style179"/>
        <w:widowControl/>
        <w:numPr>
          <w:ilvl w:val="0"/>
          <w:numId w:val="1"/>
        </w:numPr>
        <w:spacing w:before="0" w:after="200" w:lineRule="auto" w:line="360"/>
        <w:contextualSpacing/>
        <w:rPr>
          <w:rFonts w:ascii="Tw Cen MT" w:cs="Times New Roman" w:hAnsi="Tw Cen MT"/>
          <w:sz w:val="14"/>
          <w:szCs w:val="14"/>
        </w:rPr>
      </w:pPr>
      <w:r>
        <w:rPr>
          <w:rFonts w:ascii="Tw Cen MT" w:cs="Times New Roman" w:hAnsi="Tw Cen MT"/>
          <w:sz w:val="14"/>
          <w:szCs w:val="14"/>
        </w:rPr>
        <w:t xml:space="preserve">ShiddappaMallappa, Shivanoor. </w:t>
      </w:r>
      <w:r>
        <w:rPr>
          <w:rFonts w:ascii="Tw Cen MT" w:cs="Times New Roman" w:hAnsi="Tw Cen MT"/>
          <w:sz w:val="14"/>
          <w:szCs w:val="14"/>
        </w:rPr>
        <w:t>et</w:t>
      </w:r>
      <w:r>
        <w:rPr>
          <w:rFonts w:ascii="Tw Cen MT" w:cs="Times New Roman" w:hAnsi="Tw Cen MT"/>
          <w:sz w:val="14"/>
          <w:szCs w:val="14"/>
        </w:rPr>
        <w:t xml:space="preserve"> Muniswamy, David. (2014). Protective role of turmeric against deltamethrin induced renal oxidative damage in </w:t>
      </w:r>
      <w:r>
        <w:rPr>
          <w:rFonts w:ascii="Tw Cen MT" w:cs="Times New Roman" w:hAnsi="Tw Cen MT"/>
          <w:sz w:val="14"/>
          <w:szCs w:val="14"/>
        </w:rPr>
        <w:t>rats,</w:t>
      </w:r>
      <w:r>
        <w:rPr>
          <w:rFonts w:ascii="Tw Cen MT" w:cs="Times New Roman" w:hAnsi="Tw Cen MT"/>
          <w:sz w:val="14"/>
          <w:szCs w:val="14"/>
        </w:rPr>
        <w:t xml:space="preserve"> Biomedicine &amp; Preventive Nutrition 4.2014 543–553.</w:t>
      </w:r>
    </w:p>
    <w:p>
      <w:pPr>
        <w:pStyle w:val="style179"/>
        <w:widowControl/>
        <w:numPr>
          <w:ilvl w:val="0"/>
          <w:numId w:val="1"/>
        </w:numPr>
        <w:spacing w:before="0" w:after="200" w:lineRule="auto" w:line="360"/>
        <w:contextualSpacing/>
        <w:rPr>
          <w:rFonts w:ascii="Tw Cen MT" w:cs="Times New Roman" w:hAnsi="Tw Cen MT"/>
          <w:sz w:val="14"/>
          <w:szCs w:val="14"/>
        </w:rPr>
      </w:pPr>
      <w:r>
        <w:rPr>
          <w:rFonts w:ascii="Tw Cen MT" w:cs="Times New Roman" w:hAnsi="Tw Cen MT"/>
          <w:sz w:val="14"/>
          <w:szCs w:val="14"/>
        </w:rPr>
        <w:t>Heba, M.Abdou.</w:t>
      </w:r>
      <w:r>
        <w:rPr>
          <w:rFonts w:ascii="Tw Cen MT" w:cs="Times New Roman" w:hAnsi="Tw Cen MT"/>
          <w:sz w:val="14"/>
          <w:szCs w:val="14"/>
        </w:rPr>
        <w:t>, Hend</w:t>
      </w:r>
      <w:r>
        <w:rPr>
          <w:rFonts w:ascii="Tw Cen MT" w:cs="Times New Roman" w:hAnsi="Tw Cen MT"/>
          <w:sz w:val="14"/>
          <w:szCs w:val="14"/>
        </w:rPr>
        <w:t xml:space="preserve">, M.Hussien. </w:t>
      </w:r>
      <w:r>
        <w:rPr>
          <w:rFonts w:ascii="Tw Cen MT" w:cs="Times New Roman" w:hAnsi="Tw Cen MT"/>
          <w:sz w:val="14"/>
          <w:szCs w:val="14"/>
        </w:rPr>
        <w:t>et</w:t>
      </w:r>
      <w:r>
        <w:rPr>
          <w:rFonts w:ascii="Tw Cen MT" w:cs="Times New Roman" w:hAnsi="Tw Cen MT"/>
          <w:sz w:val="14"/>
          <w:szCs w:val="14"/>
        </w:rPr>
        <w:t xml:space="preserve"> Mokhtar, I.Yousef. (2012). Deleterious effects of cypermethrin on rat liver and kidney: Protective role of sesame oil, Journal of Environmental Science and Health, Part B: Pesticides, Food Contaminants, and Agricultural Wastes, 47:4, 306-314.</w:t>
      </w:r>
    </w:p>
    <w:p>
      <w:pPr>
        <w:pStyle w:val="style0"/>
        <w:spacing w:lineRule="exact" w:line="200"/>
        <w:jc w:val="both"/>
        <w:rPr>
          <w:rFonts w:ascii="Calibri" w:hAnsi="Calibri"/>
        </w:rPr>
        <w:sectPr>
          <w:type w:val="continuous"/>
          <w:pgSz w:w="11910" w:h="16840" w:orient="portrait"/>
          <w:pgMar w:top="1740" w:right="600" w:bottom="840" w:left="620" w:header="720" w:footer="720" w:gutter="0"/>
          <w:cols w:equalWidth="0" w:space="720" w:num="2">
            <w:col w:w="5214" w:space="138"/>
            <w:col w:w="5338"/>
          </w:cols>
        </w:sectPr>
      </w:pPr>
      <w:r>
        <w:rPr>
          <w:rFonts w:ascii="Calibri" w:hAnsi="Calibri"/>
        </w:rPr>
        <w:t xml:space="preserve">   </w:t>
      </w:r>
    </w:p>
    <w:p>
      <w:pPr>
        <w:pStyle w:val="style66"/>
        <w:tabs>
          <w:tab w:val="center" w:leader="none" w:pos="5345"/>
        </w:tabs>
        <w:rPr>
          <w:rFonts w:ascii="Calibri"/>
          <w:b/>
          <w:sz w:val="2"/>
          <w:szCs w:val="2"/>
        </w:rPr>
      </w:pPr>
      <w:r>
        <w:rPr>
          <w:rFonts w:ascii="Calibri"/>
          <w:sz w:val="20"/>
        </w:rPr>
        <w:t xml:space="preserve">              </w:t>
      </w:r>
      <w:r>
        <w:rPr>
          <w:rFonts w:ascii="Calibri"/>
          <w:sz w:val="20"/>
        </w:rPr>
        <w:tab/>
      </w:r>
    </w:p>
    <w:p>
      <w:pPr>
        <w:pStyle w:val="style66"/>
        <w:spacing w:lineRule="exact" w:line="40"/>
        <w:ind w:left="2202"/>
        <w:rPr>
          <w:rFonts w:ascii="Calibri"/>
          <w:sz w:val="4"/>
        </w:rPr>
      </w:pPr>
      <w:r>
        <w:rPr>
          <w:rFonts w:ascii="Calibri"/>
          <w:noProof/>
          <w:sz w:val="4"/>
          <w:lang w:val="fr-FR" w:eastAsia="fr-FR"/>
        </w:rPr>
      </w:r>
      <w:r>
        <w:rPr>
          <w:rFonts w:ascii="Calibri"/>
          <w:noProof/>
          <w:sz w:val="4"/>
          <w:lang w:val="fr-FR" w:eastAsia="fr-FR"/>
        </w:rPr>
      </w:r>
      <w:r>
        <w:rPr>
          <w:rFonts w:ascii="Calibri"/>
          <w:noProof/>
          <w:sz w:val="4"/>
          <w:lang w:val="fr-FR" w:eastAsia="fr-FR"/>
        </w:rPr>
      </w:r>
      <w:r>
        <w:rPr>
          <w:rFonts w:ascii="Calibri"/>
          <w:noProof/>
          <w:sz w:val="4"/>
          <w:lang w:val="fr-FR" w:eastAsia="fr-FR"/>
        </w:rPr>
        <mc:AlternateContent>
          <mc:Choice Requires="wpg">
            <w:drawing>
              <wp:inline distL="0" distT="0" distB="0" distR="0">
                <wp:extent cx="3975735" cy="25400"/>
                <wp:effectExtent l="1270" t="0" r="4445" b="3175"/>
                <wp:docPr id="1027" name="Group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3975735" cy="25400"/>
                          <a:chOff x="0" y="0"/>
                          <a:chExt cx="6261" cy="40"/>
                        </a:xfrm>
                      </wpg:grpSpPr>
                      <wps:wsp>
                        <wps:cNvSpPr/>
                        <wps:spPr>
                          <a:xfrm rot="0">
                            <a:off x="20" y="20"/>
                            <a:ext cx="6221" cy="0"/>
                          </a:xfrm>
                          <a:prstGeom prst="line"/>
                          <a:ln cmpd="sng" cap="flat" w="25400">
                            <a:solidFill>
                              <a:srgbClr val="004080"/>
                            </a:solidFill>
                            <a:prstDash val="solid"/>
                            <a:round/>
                            <a:headEnd len="med" w="med" type="none"/>
                            <a:tailEnd len="med" w="med" type="none"/>
                          </a:ln>
                        </wps:spPr>
                        <wps:bodyPr>
                          <a:prstTxWarp prst="textNoShape"/>
                        </wps:bodyPr>
                      </wps:wsp>
                    </wpg:wgp>
                  </a:graphicData>
                </a:graphic>
              </wp:inline>
            </w:drawing>
          </mc:Choice>
          <mc:Fallback>
            <w:pict>
              <v:group id="1027" filled="f" stroked="f" style="margin-left:0.0pt;margin-top:0.0pt;width:313.05pt;height:2.0pt;mso-wrap-distance-left:0.0pt;mso-wrap-distance-right:0.0pt;visibility:visible;" coordsize="6261,40">
                <v:line id="1028" filled="f" stroked="t" from="20.0pt,20.0pt" to="6241.0pt,20.0pt" style="position:absolute;z-index:2;mso-position-horizontal-relative:page;mso-position-vertical-relative:page;mso-width-relative:page;mso-height-relative:page;visibility:visible;">
                  <v:stroke color="#004080" weight="2.0pt"/>
                  <v:fill/>
                </v:line>
                <w10:anchorlock/>
                <v:fill rotate="true"/>
              </v:group>
            </w:pict>
          </mc:Fallback>
        </mc:AlternateContent>
      </w:r>
      <w:r>
        <w:rPr>
          <w:rFonts w:ascii="Calibri"/>
          <w:noProof/>
          <w:sz w:val="4"/>
          <w:lang w:val="fr-FR" w:eastAsia="fr-FR"/>
        </w:rPr>
      </w:r>
      <w:r>
        <w:rPr>
          <w:rFonts w:ascii="Calibri"/>
          <w:noProof/>
          <w:sz w:val="4"/>
          <w:lang w:val="fr-FR" w:eastAsia="fr-FR"/>
        </w:rPr>
      </w:r>
    </w:p>
    <w:p>
      <w:pPr>
        <w:pStyle w:val="style0"/>
        <w:spacing w:before="92"/>
        <w:ind w:right="4234"/>
        <w:rPr>
          <w:rFonts w:ascii="Arial"/>
        </w:rPr>
      </w:pPr>
      <w:r>
        <w:rPr>
          <w:noProof/>
        </w:rPr>
        <w:t xml:space="preserve">              </w:t>
      </w:r>
      <w:r>
        <w:rPr>
          <w:rFonts w:ascii="Arial"/>
          <w:color w:val="bf5a14"/>
        </w:rPr>
        <w:t>Biography</w:t>
      </w:r>
      <w:r>
        <w:rPr>
          <w:rFonts w:ascii="Arial"/>
          <w:color w:val="bf5a14"/>
        </w:rPr>
        <w:t xml:space="preserve"> </w:t>
      </w:r>
    </w:p>
    <w:p>
      <w:pPr>
        <w:pStyle w:val="style0"/>
        <w:spacing w:before="41" w:lineRule="exact" w:line="154"/>
        <w:ind w:left="213" w:right="231"/>
        <w:jc w:val="both"/>
        <w:rPr>
          <w:rFonts w:ascii="Arial" w:cs="Arial"/>
          <w:sz w:val="14"/>
        </w:rPr>
      </w:pPr>
      <w:r>
        <w:rPr>
          <w:rFonts w:ascii="Arial" w:cs="Arial"/>
          <w:sz w:val="14"/>
        </w:rPr>
        <w:t>Mr AYACHI ABDERAOUF</w:t>
      </w:r>
    </w:p>
    <w:p>
      <w:pPr>
        <w:pStyle w:val="style0"/>
        <w:spacing w:before="41" w:lineRule="exact" w:line="154"/>
        <w:ind w:left="213" w:right="231"/>
        <w:jc w:val="both"/>
        <w:rPr>
          <w:rFonts w:ascii="Arial" w:cs="Arial"/>
          <w:sz w:val="14"/>
        </w:rPr>
      </w:pPr>
      <w:r>
        <w:rPr>
          <w:rFonts w:ascii="Arial" w:cs="Arial"/>
          <w:sz w:val="14"/>
        </w:rPr>
        <w:t xml:space="preserve">I have a BA and MA in Applied </w:t>
      </w:r>
      <w:r>
        <w:rPr>
          <w:rFonts w:ascii="Arial" w:cs="Arial"/>
          <w:sz w:val="14"/>
        </w:rPr>
        <w:t>Toxicology</w:t>
      </w:r>
      <w:r>
        <w:rPr>
          <w:rFonts w:ascii="Arial" w:cs="Arial" w:hint="cs"/>
          <w:sz w:val="14"/>
          <w:rtl/>
        </w:rPr>
        <w:t xml:space="preserve"> </w:t>
      </w:r>
      <w:r>
        <w:rPr>
          <w:rFonts w:ascii="Arial" w:cs="Arial"/>
          <w:sz w:val="14"/>
        </w:rPr>
        <w:t>from</w:t>
      </w:r>
      <w:r>
        <w:rPr>
          <w:rFonts w:ascii="Arial" w:cs="Arial"/>
          <w:sz w:val="14"/>
        </w:rPr>
        <w:t xml:space="preserve"> the Faculty of Exact Sciences and Nature and Life Sciences, University of Tebessa, Algeria</w:t>
      </w:r>
      <w:r>
        <w:rPr>
          <w:rFonts w:ascii="Arial" w:cs="Arial"/>
          <w:sz w:val="14"/>
        </w:rPr>
        <w:t xml:space="preserve"> </w:t>
      </w:r>
      <w:r>
        <w:rPr>
          <w:rFonts w:ascii="Arial" w:cs="Arial" w:hint="cs"/>
          <w:sz w:val="14"/>
          <w:rtl/>
        </w:rPr>
        <w:t>.</w:t>
      </w:r>
      <w:r>
        <w:rPr>
          <w:rFonts w:ascii="Arial" w:cs="Arial"/>
          <w:sz w:val="14"/>
        </w:rPr>
        <w:t>as well as a Biologist in the Laboratory of the Mother and Child Hospital in T</w:t>
      </w:r>
      <w:r>
        <w:rPr>
          <w:rFonts w:ascii="Arial" w:cs="Arial"/>
          <w:sz w:val="14"/>
        </w:rPr>
        <w:t>ebes</w:t>
      </w:r>
      <w:r>
        <w:rPr>
          <w:rFonts w:ascii="Arial" w:cs="Arial"/>
          <w:sz w:val="14"/>
        </w:rPr>
        <w:t>sa, Algeria. I have a great desire to develop my knowledge in the field of scientific research and gain more experience.</w:t>
      </w:r>
    </w:p>
    <w:p>
      <w:pPr>
        <w:pStyle w:val="style0"/>
        <w:spacing w:before="62"/>
        <w:ind w:left="4217" w:right="4235"/>
        <w:jc w:val="center"/>
        <w:rPr>
          <w:rFonts w:ascii="Arial"/>
          <w:sz w:val="14"/>
        </w:rPr>
        <w:sectPr>
          <w:type w:val="continuous"/>
          <w:pgSz w:w="11910" w:h="16840" w:orient="portrait"/>
          <w:pgMar w:top="1740" w:right="600" w:bottom="840" w:left="620" w:header="720" w:footer="720" w:gutter="0"/>
          <w:cols w:space="720"/>
        </w:sectPr>
      </w:pPr>
      <w:r>
        <w:rPr>
          <w:rFonts w:ascii="Arial"/>
          <w:sz w:val="14"/>
        </w:rPr>
        <w:t xml:space="preserve">Email: </w:t>
      </w:r>
      <w:r>
        <w:rPr/>
        <w:fldChar w:fldCharType="begin"/>
      </w:r>
      <w:r>
        <w:instrText xml:space="preserve"> HYPERLINK "mailto:raouf1794@gmail.com" </w:instrText>
      </w:r>
      <w:r>
        <w:rPr/>
        <w:fldChar w:fldCharType="separate"/>
      </w:r>
      <w:r>
        <w:rPr>
          <w:rStyle w:val="style85"/>
          <w:rFonts w:ascii="Arial"/>
          <w:sz w:val="14"/>
        </w:rPr>
        <w:t>raouf1794@gmail.com</w:t>
      </w:r>
      <w:r>
        <w:rPr/>
        <w:fldChar w:fldCharType="end"/>
      </w:r>
      <w:r>
        <w:rPr>
          <w:noProof/>
          <w:lang w:val="fr-FR" w:eastAsia="fr-FR"/>
        </w:rPr>
        <mc:AlternateContent>
          <mc:Choice Requires="wps">
            <w:drawing>
              <wp:anchor distT="0" distB="0" distL="0" distR="0" simplePos="false" relativeHeight="2" behindDoc="false" locked="false" layoutInCell="true" allowOverlap="true">
                <wp:simplePos x="0" y="0"/>
                <wp:positionH relativeFrom="page">
                  <wp:posOffset>2058669</wp:posOffset>
                </wp:positionH>
                <wp:positionV relativeFrom="paragraph">
                  <wp:posOffset>168275</wp:posOffset>
                </wp:positionV>
                <wp:extent cx="3442334" cy="0"/>
                <wp:effectExtent l="10795" t="6985" r="13970" b="12065"/>
                <wp:wrapTopAndBottom/>
                <wp:docPr id="1030" name="Line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442334" cy="0"/>
                        </a:xfrm>
                        <a:prstGeom prst="line"/>
                        <a:ln cmpd="sng" cap="flat" w="6350">
                          <a:solidFill>
                            <a:srgbClr val="00408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0" filled="f" stroked="t" from="162.09999pt,13.25pt" to="433.14996pt,13.25pt" style="position:absolute;z-index:2;mso-position-horizontal-relative:page;mso-position-vertical-relative:text;mso-width-percent:0;mso-height-percent:0;mso-width-relative:page;mso-height-relative:page;mso-wrap-distance-left:0.0pt;mso-wrap-distance-right:0.0pt;visibility:visible;">
                <v:stroke color="#004080" weight="0.5pt"/>
                <w10:wrap type="topAndBottom"/>
                <v:fill/>
              </v:line>
            </w:pict>
          </mc:Fallback>
        </mc:AlternateContent>
      </w:r>
    </w:p>
    <w:p>
      <w:pPr>
        <w:pStyle w:val="style66"/>
        <w:spacing w:before="3"/>
        <w:rPr>
          <w:rFonts w:ascii="Minion Pro"/>
          <w:sz w:val="26"/>
        </w:rPr>
      </w:pPr>
    </w:p>
    <w:sectPr>
      <w:type w:val="continuous"/>
      <w:pgSz w:w="11910" w:h="16840" w:orient="portrait"/>
      <w:pgMar w:top="1740" w:right="580" w:bottom="840" w:left="620" w:header="720" w:footer="720" w:gutter="0"/>
      <w:cols w:equalWidth="0" w:space="72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Tw Cen MT">
    <w:altName w:val="Tw Cen MT"/>
    <w:panose1 w:val="020b0602020001020603"/>
    <w:charset w:val="00"/>
    <w:family w:val="swiss"/>
    <w:pitch w:val="variable"/>
    <w:sig w:usb0="00000007" w:usb1="00000000" w:usb2="00000000" w:usb3="00000000" w:csb0="00000003" w:csb1="00000000"/>
  </w:font>
  <w:font w:name="Minion Pro">
    <w:altName w:val="Cambria Math"/>
    <w:panose1 w:val="00000000000000000000"/>
    <w:charset w:val="00"/>
    <w:family w:val="roman"/>
    <w:pitch w:val="variable"/>
    <w:sig w:usb0="00000003" w:usb1="00000001" w:usb2="00000000" w:usb3="00000000" w:csb0="0000019F" w:csb1="00000000"/>
  </w:font>
  <w:font w:name="Tahoma">
    <w:altName w:val="Tahoma"/>
    <w:panose1 w:val="020b0604030005040204"/>
    <w:charset w:val="00"/>
    <w:family w:val="swiss"/>
    <w:pitch w:val="variable"/>
    <w:sig w:usb0="E1002EFF" w:usb1="C000605B" w:usb2="00000029" w:usb3="00000000" w:csb0="000101FF" w:csb1="00000000"/>
  </w:font>
  <w:font w:name="Impact">
    <w:altName w:val="Impact"/>
    <w:panose1 w:val="020b0806030009050204"/>
    <w:charset w:val="00"/>
    <w:family w:val="swiss"/>
    <w:pitch w:val="variable"/>
    <w:sig w:usb0="00000287" w:usb1="00000000" w:usb2="00000000" w:usb3="00000000" w:csb0="0000009F" w:csb1="00000000"/>
  </w:font>
  <w:font w:name="Cambria">
    <w:altName w:val="Cambria"/>
    <w:panose1 w:val="02040503050004030204"/>
    <w:charset w:val="00"/>
    <w:family w:val="roman"/>
    <w:pitch w:val="variable"/>
    <w:sig w:usb0="E00006FF" w:usb1="420024FF" w:usb2="02000000" w:usb3="00000000" w:csb0="000001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66"/>
      <w:spacing w:lineRule="auto" w:line="14"/>
      <w:rPr>
        <w:sz w:val="20"/>
      </w:rPr>
    </w:pPr>
    <w:r>
      <w:rPr>
        <w:noProof/>
        <w:lang w:val="fr-FR" w:eastAsia="fr-FR"/>
      </w:rPr>
      <mc:AlternateContent>
        <mc:Choice Requires="wps">
          <w:drawing>
            <wp:anchor distT="0" distB="0" distL="0" distR="0" simplePos="false" relativeHeight="2" behindDoc="true" locked="false" layoutInCell="true" allowOverlap="true">
              <wp:simplePos x="0" y="0"/>
              <wp:positionH relativeFrom="page">
                <wp:posOffset>3201670</wp:posOffset>
              </wp:positionH>
              <wp:positionV relativeFrom="page">
                <wp:posOffset>10147935</wp:posOffset>
              </wp:positionV>
              <wp:extent cx="1167130" cy="316865"/>
              <wp:effectExtent l="1270" t="3810" r="3175" b="3175"/>
              <wp:wrapNone/>
              <wp:docPr id="4097" name="Text Box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7130" cy="316865"/>
                      </a:xfrm>
                      <a:prstGeom prst="rect"/>
                      <a:ln>
                        <a:noFill/>
                      </a:ln>
                    </wps:spPr>
                    <wps:txbx id="4097">
                      <w:txbxContent>
                        <w:p>
                          <w:pPr>
                            <w:pStyle w:val="style0"/>
                            <w:spacing w:lineRule="exact" w:line="269"/>
                            <w:jc w:val="center"/>
                            <w:rPr>
                              <w:rFonts w:ascii="Impact"/>
                              <w:color w:val="ffffff"/>
                              <w:sz w:val="24"/>
                            </w:rPr>
                          </w:pPr>
                          <w:r>
                            <w:rPr>
                              <w:rFonts w:ascii="Impact"/>
                              <w:color w:val="ffffff"/>
                              <w:sz w:val="24"/>
                            </w:rPr>
                            <w:t>Fibromyalgia 2016</w:t>
                          </w:r>
                        </w:p>
                        <w:p>
                          <w:pPr>
                            <w:pStyle w:val="style0"/>
                            <w:spacing w:before="29"/>
                            <w:jc w:val="center"/>
                            <w:rPr>
                              <w:rFonts w:ascii="Arial"/>
                              <w:color w:val="ffffff"/>
                              <w:sz w:val="16"/>
                            </w:rPr>
                          </w:pPr>
                          <w:r>
                            <w:rPr>
                              <w:rFonts w:ascii="Arial"/>
                              <w:color w:val="ffffff"/>
                              <w:sz w:val="16"/>
                            </w:rPr>
                            <w:t>June 15-16, 2016</w:t>
                          </w:r>
                        </w:p>
                      </w:txbxContent>
                    </wps:txbx>
                    <wps:bodyPr lIns="0" rIns="0" tIns="0" bIns="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4097" filled="f" stroked="f" style="position:absolute;margin-left:252.1pt;margin-top:799.05pt;width:91.9pt;height:24.95pt;z-index:-2147483645;mso-position-horizontal-relative:page;mso-position-vertical-relative:page;mso-width-percent:0;mso-height-percent:0;mso-width-relative:page;mso-height-relative:page;mso-wrap-distance-left:0.0pt;mso-wrap-distance-right:0.0pt;visibility:visible;">
              <v:stroke on="f"/>
              <v:fill/>
              <v:textbox inset="0.0pt,0.0pt,0.0pt,0.0pt">
                <w:txbxContent>
                  <w:p>
                    <w:pPr>
                      <w:pStyle w:val="style0"/>
                      <w:spacing w:lineRule="exact" w:line="269"/>
                      <w:jc w:val="center"/>
                      <w:rPr>
                        <w:rFonts w:ascii="Impact"/>
                        <w:color w:val="ffffff"/>
                        <w:sz w:val="24"/>
                      </w:rPr>
                    </w:pPr>
                    <w:r>
                      <w:rPr>
                        <w:rFonts w:ascii="Impact"/>
                        <w:color w:val="ffffff"/>
                        <w:sz w:val="24"/>
                      </w:rPr>
                      <w:t>Fibromyalgia 2016</w:t>
                    </w:r>
                  </w:p>
                  <w:p>
                    <w:pPr>
                      <w:pStyle w:val="style0"/>
                      <w:spacing w:before="29"/>
                      <w:jc w:val="center"/>
                      <w:rPr>
                        <w:rFonts w:ascii="Arial"/>
                        <w:color w:val="ffffff"/>
                        <w:sz w:val="16"/>
                      </w:rPr>
                    </w:pPr>
                    <w:r>
                      <w:rPr>
                        <w:rFonts w:ascii="Arial"/>
                        <w:color w:val="ffffff"/>
                        <w:sz w:val="16"/>
                      </w:rPr>
                      <w:t>June 15-16, 2016</w:t>
                    </w:r>
                  </w:p>
                </w:txbxContent>
              </v:textbox>
            </v:rect>
          </w:pict>
        </mc:Fallback>
      </mc:AlternateContent>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66"/>
      <w:spacing w:lineRule="auto" w:line="14"/>
      <w:rPr>
        <w:sz w:val="20"/>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12C698DC"/>
    <w:lvl w:ilvl="0" w:tplc="B302F834">
      <w:start w:val="1"/>
      <w:numFmt w:val="bullet"/>
      <w:lvlText w:val=""/>
      <w:lvlJc w:val="left"/>
      <w:pPr>
        <w:ind w:left="720" w:hanging="360"/>
      </w:pPr>
      <w:rPr>
        <w:rFonts w:ascii="Wingdings" w:hAnsi="Wingdings" w:hint="default"/>
        <w:b/>
        <w:bCs/>
        <w:sz w:val="24"/>
        <w:szCs w:val="24"/>
      </w:rPr>
    </w:lvl>
    <w:lvl w:ilvl="1" w:tplc="040C0003" w:tentative="1">
      <w:start w:val="1"/>
      <w:numFmt w:val="bullet"/>
      <w:lvlText w:val="o"/>
      <w:lvlJc w:val="left"/>
      <w:pPr>
        <w:ind w:left="1440" w:hanging="360"/>
      </w:pPr>
      <w:rPr>
        <w:rFonts w:ascii="Courier New" w:cs="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cs="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cs="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7EDE6B1A"/>
    <w:lvl w:ilvl="0" w:tplc="3CF4AF62">
      <w:start w:val="1"/>
      <w:numFmt w:val="decimal"/>
      <w:lvlText w:val="%1."/>
      <w:lvlJc w:val="left"/>
      <w:pPr>
        <w:ind w:left="383" w:hanging="284"/>
      </w:pPr>
      <w:rPr>
        <w:rFonts w:ascii="Calibri" w:cs="Calibri" w:eastAsia="Calibri" w:hAnsi="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00000002"/>
    <w:multiLevelType w:val="hybridMultilevel"/>
    <w:tmpl w:val="9BE410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0000003"/>
    <w:multiLevelType w:val="hybridMultilevel"/>
    <w:tmpl w:val="1F60F210"/>
    <w:lvl w:ilvl="0" w:tplc="D952B2B2">
      <w:start w:val="1"/>
      <w:numFmt w:val="decimal"/>
      <w:lvlText w:val="%1."/>
      <w:lvlJc w:val="left"/>
      <w:pPr>
        <w:ind w:left="383" w:hanging="284"/>
      </w:pPr>
      <w:rPr>
        <w:rFonts w:ascii="Calibri" w:cs="Calibri" w:eastAsia="Calibri" w:hAnsi="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00000004"/>
    <w:multiLevelType w:val="hybridMultilevel"/>
    <w:tmpl w:val="7D9686B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1"/>
    <w:lvlOverride w:ilvl="0">
      <w:startOverride w:val="1"/>
    </w:lvlOverride>
    <w:lvlOverride w:ilvl="1"/>
    <w:lvlOverride w:ilvl="2"/>
    <w:lvlOverride w:ilvl="3"/>
    <w:lvlOverride w:ilvl="4"/>
    <w:lvlOverride w:ilvl="5"/>
    <w:lvlOverride w:ilvl="6"/>
    <w:lvlOverride w:ilvl="7"/>
    <w:lvlOverride w:ilvl="8"/>
  </w:num>
  <w:num w:numId="5">
    <w:abstractNumId w:val="0"/>
  </w:num>
  <w:num w:numId="6">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1"/>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en-US" w:bidi="ar-SA" w:eastAsia="en-US"/>
      </w:rPr>
    </w:rPrDefault>
    <w:pPrDefault>
      <w:pPr>
        <w:widowControl w:val="false"/>
      </w:pPr>
    </w:pPrDefault>
  </w:docDefaults>
  <w:style w:type="paragraph" w:default="1" w:styleId="style0">
    <w:name w:val="Normal"/>
    <w:next w:val="style0"/>
    <w:qFormat/>
    <w:uiPriority w:val="1"/>
    <w:pPr/>
    <w:rPr>
      <w:rFonts w:ascii="Tw Cen MT" w:cs="Tw Cen MT" w:eastAsia="Tw Cen MT" w:hAnsi="Tw Cen MT"/>
    </w:rPr>
  </w:style>
  <w:style w:type="paragraph" w:styleId="style1">
    <w:name w:val="heading 1"/>
    <w:basedOn w:val="style0"/>
    <w:next w:val="style1"/>
    <w:qFormat/>
    <w:uiPriority w:val="1"/>
    <w:pPr>
      <w:spacing w:before="47" w:lineRule="exact" w:line="400"/>
      <w:ind w:left="100"/>
      <w:outlineLvl w:val="0"/>
    </w:pPr>
    <w:rPr>
      <w:rFonts w:ascii="Minion Pro" w:cs="Minion Pro" w:eastAsia="Minion Pro" w:hAnsi="Minion Pro"/>
      <w:b/>
      <w:bCs/>
      <w:sz w:val="36"/>
      <w:szCs w:val="36"/>
    </w:rPr>
  </w:style>
  <w:style w:type="paragraph" w:styleId="style2">
    <w:name w:val="heading 2"/>
    <w:basedOn w:val="style0"/>
    <w:next w:val="style2"/>
    <w:qFormat/>
    <w:uiPriority w:val="1"/>
    <w:pPr>
      <w:ind w:left="100"/>
      <w:outlineLvl w:val="1"/>
    </w:pPr>
    <w:rPr>
      <w:rFonts w:ascii="Minion Pro" w:cs="Minion Pro" w:eastAsia="Minion Pro" w:hAnsi="Minion Pro"/>
      <w:sz w:val="24"/>
      <w:szCs w:val="24"/>
    </w:rPr>
  </w:style>
  <w:style w:type="paragraph" w:styleId="style3">
    <w:name w:val="heading 3"/>
    <w:basedOn w:val="style0"/>
    <w:next w:val="style3"/>
    <w:qFormat/>
    <w:uiPriority w:val="1"/>
    <w:pPr>
      <w:ind w:left="100"/>
      <w:outlineLvl w:val="2"/>
    </w:pPr>
    <w:rPr>
      <w:rFonts w:ascii="Arial" w:cs="Arial" w:eastAsia="Arial" w:hAnsi="Arial"/>
      <w:b/>
      <w:bCs/>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6">
    <w:name w:val="Body Text"/>
    <w:basedOn w:val="style0"/>
    <w:next w:val="style66"/>
    <w:link w:val="style4101"/>
    <w:qFormat/>
    <w:uiPriority w:val="1"/>
    <w:pPr/>
    <w:rPr>
      <w:sz w:val="18"/>
      <w:szCs w:val="18"/>
    </w:rPr>
  </w:style>
  <w:style w:type="paragraph" w:styleId="style179">
    <w:name w:val="List Paragraph"/>
    <w:basedOn w:val="style0"/>
    <w:next w:val="style179"/>
    <w:qFormat/>
    <w:uiPriority w:val="34"/>
    <w:pPr>
      <w:spacing w:before="90" w:lineRule="exact" w:line="200"/>
      <w:ind w:left="383" w:hanging="283"/>
      <w:jc w:val="both"/>
    </w:pPr>
    <w:rPr>
      <w:rFonts w:ascii="Calibri" w:cs="Calibri" w:eastAsia="Calibri" w:hAnsi="Calibri"/>
    </w:rPr>
  </w:style>
  <w:style w:type="paragraph" w:customStyle="1" w:styleId="style4097">
    <w:name w:val="Table Paragraph"/>
    <w:basedOn w:val="style0"/>
    <w:next w:val="style4097"/>
    <w:qFormat/>
    <w:uiPriority w:val="1"/>
    <w:pPr/>
  </w:style>
  <w:style w:type="paragraph" w:styleId="style31">
    <w:name w:val="header"/>
    <w:basedOn w:val="style0"/>
    <w:next w:val="style31"/>
    <w:link w:val="style4098"/>
    <w:uiPriority w:val="99"/>
    <w:pPr>
      <w:tabs>
        <w:tab w:val="center" w:leader="none" w:pos="4513"/>
        <w:tab w:val="right" w:leader="none" w:pos="9026"/>
      </w:tabs>
    </w:pPr>
    <w:rPr/>
  </w:style>
  <w:style w:type="character" w:customStyle="1" w:styleId="style4098">
    <w:name w:val="En-tête Car"/>
    <w:basedOn w:val="style65"/>
    <w:next w:val="style4098"/>
    <w:link w:val="style31"/>
    <w:uiPriority w:val="99"/>
    <w:rPr>
      <w:rFonts w:ascii="Tw Cen MT" w:cs="Tw Cen MT" w:eastAsia="Tw Cen MT" w:hAnsi="Tw Cen MT"/>
    </w:rPr>
  </w:style>
  <w:style w:type="paragraph" w:styleId="style32">
    <w:name w:val="footer"/>
    <w:basedOn w:val="style0"/>
    <w:next w:val="style32"/>
    <w:link w:val="style4099"/>
    <w:uiPriority w:val="99"/>
    <w:pPr>
      <w:tabs>
        <w:tab w:val="center" w:leader="none" w:pos="4513"/>
        <w:tab w:val="right" w:leader="none" w:pos="9026"/>
      </w:tabs>
    </w:pPr>
    <w:rPr/>
  </w:style>
  <w:style w:type="character" w:customStyle="1" w:styleId="style4099">
    <w:name w:val="Pied de page Car"/>
    <w:basedOn w:val="style65"/>
    <w:next w:val="style4099"/>
    <w:link w:val="style32"/>
    <w:uiPriority w:val="99"/>
    <w:rPr>
      <w:rFonts w:ascii="Tw Cen MT" w:cs="Tw Cen MT" w:eastAsia="Tw Cen MT" w:hAnsi="Tw Cen MT"/>
    </w:rPr>
  </w:style>
  <w:style w:type="paragraph" w:styleId="style153">
    <w:name w:val="Balloon Text"/>
    <w:basedOn w:val="style0"/>
    <w:next w:val="style153"/>
    <w:link w:val="style4100"/>
    <w:uiPriority w:val="99"/>
    <w:pPr/>
    <w:rPr>
      <w:rFonts w:ascii="Tahoma" w:cs="Tahoma" w:hAnsi="Tahoma"/>
      <w:sz w:val="16"/>
      <w:szCs w:val="16"/>
    </w:rPr>
  </w:style>
  <w:style w:type="character" w:customStyle="1" w:styleId="style4100">
    <w:name w:val="Texte de bulles Car"/>
    <w:basedOn w:val="style65"/>
    <w:next w:val="style4100"/>
    <w:link w:val="style153"/>
    <w:uiPriority w:val="99"/>
    <w:rPr>
      <w:rFonts w:ascii="Tahoma" w:cs="Tahoma" w:eastAsia="Tw Cen MT" w:hAnsi="Tahoma"/>
      <w:sz w:val="16"/>
      <w:szCs w:val="16"/>
    </w:rPr>
  </w:style>
  <w:style w:type="character" w:styleId="style85">
    <w:name w:val="Hyperlink"/>
    <w:basedOn w:val="style65"/>
    <w:next w:val="style85"/>
    <w:uiPriority w:val="99"/>
    <w:rPr>
      <w:color w:val="0000ff"/>
      <w:u w:val="single"/>
    </w:rPr>
  </w:style>
  <w:style w:type="character" w:customStyle="1" w:styleId="style4101">
    <w:name w:val="Corps de texte Car"/>
    <w:basedOn w:val="style65"/>
    <w:next w:val="style4101"/>
    <w:link w:val="style66"/>
    <w:uiPriority w:val="1"/>
    <w:rPr>
      <w:rFonts w:ascii="Tw Cen MT" w:cs="Tw Cen MT" w:eastAsia="Tw Cen MT" w:hAnsi="Tw Cen MT"/>
      <w:sz w:val="18"/>
      <w:szCs w:val="18"/>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image" Target="media/image1.png"/><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510</Words>
  <Pages>1</Pages>
  <Characters>3049</Characters>
  <Application>WPS Office</Application>
  <DocSecurity>0</DocSecurity>
  <Paragraphs>40</Paragraphs>
  <ScaleCrop>false</ScaleCrop>
  <Company>Microsoft</Company>
  <LinksUpToDate>false</LinksUpToDate>
  <CharactersWithSpaces>3575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2021-09-25T23:00:36Z</dcterms:created>
  <dc:creator>mehaboobi shaik</dc:creator>
  <lastModifiedBy>CPH2121</lastModifiedBy>
  <dcterms:modified xsi:type="dcterms:W3CDTF">2021-09-25T23:00:36Z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