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ECD8F" w14:textId="77777777" w:rsidR="004D72C7" w:rsidRDefault="004D72C7" w:rsidP="004D72C7">
      <w:pPr>
        <w:spacing w:line="276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64AF1">
        <w:rPr>
          <w:rFonts w:asciiTheme="majorBidi" w:hAnsiTheme="majorBidi" w:cstheme="majorBidi"/>
          <w:b/>
          <w:bCs/>
          <w:sz w:val="24"/>
          <w:szCs w:val="24"/>
        </w:rPr>
        <w:t xml:space="preserve">Role of APOBEC3B as a Predictor of </w:t>
      </w:r>
      <w:proofErr w:type="spellStart"/>
      <w:r w:rsidRPr="00864AF1">
        <w:rPr>
          <w:rFonts w:asciiTheme="majorBidi" w:hAnsiTheme="majorBidi" w:cstheme="majorBidi"/>
          <w:b/>
          <w:bCs/>
          <w:sz w:val="24"/>
          <w:szCs w:val="24"/>
        </w:rPr>
        <w:t>Intratumoral</w:t>
      </w:r>
      <w:proofErr w:type="spellEnd"/>
      <w:r w:rsidRPr="00864AF1">
        <w:rPr>
          <w:rFonts w:asciiTheme="majorBidi" w:hAnsiTheme="majorBidi" w:cstheme="majorBidi"/>
          <w:b/>
          <w:bCs/>
          <w:sz w:val="24"/>
          <w:szCs w:val="24"/>
        </w:rPr>
        <w:t xml:space="preserve"> siRNA Therapy Response in Lung Cancer Tumors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with Passive Smoking</w:t>
      </w:r>
    </w:p>
    <w:p w14:paraId="69A0A241" w14:textId="77777777" w:rsidR="004D72C7" w:rsidRPr="00187C31" w:rsidRDefault="004D72C7" w:rsidP="004D72C7">
      <w:pPr>
        <w:spacing w:line="276" w:lineRule="auto"/>
        <w:jc w:val="both"/>
        <w:rPr>
          <w:rFonts w:asciiTheme="majorBidi" w:hAnsiTheme="majorBidi" w:cstheme="majorBidi" w:hint="eastAsia"/>
          <w:sz w:val="24"/>
          <w:szCs w:val="24"/>
          <w:vertAlign w:val="superscript"/>
        </w:rPr>
      </w:pPr>
      <w:proofErr w:type="spellStart"/>
      <w:r w:rsidRPr="00936027">
        <w:rPr>
          <w:rFonts w:asciiTheme="majorBidi" w:hAnsiTheme="majorBidi" w:cstheme="majorBidi"/>
          <w:sz w:val="24"/>
          <w:szCs w:val="24"/>
        </w:rPr>
        <w:t>Mahtab</w:t>
      </w:r>
      <w:proofErr w:type="spellEnd"/>
      <w:r w:rsidRPr="00936027">
        <w:rPr>
          <w:rFonts w:asciiTheme="majorBidi" w:hAnsiTheme="majorBidi" w:cstheme="majorBidi"/>
          <w:sz w:val="24"/>
          <w:szCs w:val="24"/>
        </w:rPr>
        <w:t xml:space="preserve"> Mah</w:t>
      </w:r>
      <w:r>
        <w:rPr>
          <w:rFonts w:asciiTheme="majorBidi" w:hAnsiTheme="majorBidi" w:cstheme="majorBidi"/>
          <w:sz w:val="24"/>
          <w:szCs w:val="24"/>
          <w:vertAlign w:val="superscript"/>
        </w:rPr>
        <w:t>1-2</w:t>
      </w:r>
      <w:r w:rsidRPr="0093602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36027">
        <w:rPr>
          <w:rFonts w:asciiTheme="majorBidi" w:hAnsiTheme="majorBidi" w:cstheme="majorBidi"/>
          <w:sz w:val="24"/>
          <w:szCs w:val="24"/>
        </w:rPr>
        <w:t>Chengguo</w:t>
      </w:r>
      <w:proofErr w:type="spellEnd"/>
      <w:r w:rsidRPr="00936027">
        <w:rPr>
          <w:rFonts w:asciiTheme="majorBidi" w:hAnsiTheme="majorBidi" w:cstheme="majorBidi"/>
          <w:sz w:val="24"/>
          <w:szCs w:val="24"/>
        </w:rPr>
        <w:t xml:space="preserve"> Shen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3602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936027">
        <w:rPr>
          <w:rFonts w:asciiTheme="majorBidi" w:hAnsiTheme="majorBidi" w:cstheme="majorBidi"/>
          <w:sz w:val="24"/>
          <w:szCs w:val="24"/>
        </w:rPr>
        <w:t>Jianbo</w:t>
      </w:r>
      <w:proofErr w:type="spellEnd"/>
      <w:r w:rsidRPr="00936027">
        <w:rPr>
          <w:rFonts w:asciiTheme="majorBidi" w:hAnsiTheme="majorBidi" w:cstheme="majorBidi"/>
          <w:sz w:val="24"/>
          <w:szCs w:val="24"/>
        </w:rPr>
        <w:t xml:space="preserve"> Wu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36027">
        <w:rPr>
          <w:rFonts w:asciiTheme="majorBidi" w:hAnsiTheme="majorBidi" w:cstheme="majorBidi"/>
          <w:sz w:val="24"/>
          <w:szCs w:val="24"/>
        </w:rPr>
        <w:t>, Matthew Brown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936027">
        <w:rPr>
          <w:rFonts w:asciiTheme="majorBidi" w:hAnsiTheme="majorBidi" w:cstheme="majorBidi"/>
          <w:sz w:val="24"/>
          <w:szCs w:val="24"/>
        </w:rPr>
        <w:t>, Feng Zhang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936027">
        <w:rPr>
          <w:rFonts w:asciiTheme="majorBidi" w:hAnsiTheme="majorBidi" w:cstheme="majorBidi"/>
          <w:sz w:val="24"/>
          <w:szCs w:val="24"/>
        </w:rPr>
        <w:t>, Meiyu,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36027">
        <w:rPr>
          <w:rFonts w:asciiTheme="majorBidi" w:hAnsiTheme="majorBidi" w:cstheme="majorBidi"/>
          <w:sz w:val="24"/>
          <w:szCs w:val="24"/>
        </w:rPr>
        <w:t xml:space="preserve"> Jinshan Zhang</w:t>
      </w:r>
      <w:proofErr w:type="gramStart"/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936027">
        <w:rPr>
          <w:rFonts w:asciiTheme="majorBidi" w:hAnsiTheme="majorBidi" w:cstheme="majorBidi"/>
          <w:sz w:val="24"/>
          <w:szCs w:val="24"/>
        </w:rPr>
        <w:t>,Yuping</w:t>
      </w:r>
      <w:proofErr w:type="gramEnd"/>
      <w:r w:rsidRPr="00936027">
        <w:rPr>
          <w:rFonts w:asciiTheme="majorBidi" w:hAnsiTheme="majorBidi" w:cstheme="majorBidi"/>
          <w:sz w:val="24"/>
          <w:szCs w:val="24"/>
        </w:rPr>
        <w:t xml:space="preserve">, Li 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936027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936027">
        <w:rPr>
          <w:rFonts w:asciiTheme="majorBidi" w:hAnsiTheme="majorBidi" w:cstheme="majorBidi"/>
          <w:sz w:val="24"/>
          <w:szCs w:val="24"/>
        </w:rPr>
        <w:t>Chengshui</w:t>
      </w:r>
      <w:proofErr w:type="spellEnd"/>
      <w:r w:rsidRPr="00936027">
        <w:rPr>
          <w:rFonts w:asciiTheme="majorBidi" w:hAnsiTheme="majorBidi" w:cstheme="majorBidi"/>
          <w:sz w:val="24"/>
          <w:szCs w:val="24"/>
        </w:rPr>
        <w:t xml:space="preserve"> Chen</w:t>
      </w:r>
      <w:r>
        <w:rPr>
          <w:rFonts w:asciiTheme="majorBidi" w:hAnsiTheme="majorBidi" w:cstheme="majorBidi"/>
          <w:sz w:val="24"/>
          <w:szCs w:val="24"/>
          <w:vertAlign w:val="superscript"/>
        </w:rPr>
        <w:t>1-2</w:t>
      </w:r>
    </w:p>
    <w:p w14:paraId="527D7BC1" w14:textId="0FCE474D" w:rsidR="004D72C7" w:rsidRPr="00A75D59" w:rsidRDefault="004D72C7" w:rsidP="00A75D59">
      <w:pPr>
        <w:pStyle w:val="a3"/>
        <w:numPr>
          <w:ilvl w:val="0"/>
          <w:numId w:val="2"/>
        </w:numPr>
        <w:rPr>
          <w:sz w:val="18"/>
          <w:szCs w:val="18"/>
        </w:rPr>
      </w:pPr>
      <w:r w:rsidRPr="00A75D59">
        <w:rPr>
          <w:sz w:val="18"/>
          <w:szCs w:val="18"/>
        </w:rPr>
        <w:t>The Center for Precision Medicine,</w:t>
      </w:r>
      <w:r w:rsidR="00A75D59" w:rsidRPr="00A75D59">
        <w:rPr>
          <w:sz w:val="18"/>
          <w:szCs w:val="18"/>
        </w:rPr>
        <w:t xml:space="preserve"> the </w:t>
      </w:r>
      <w:r w:rsidR="00A75D59" w:rsidRPr="00A75D59">
        <w:rPr>
          <w:sz w:val="18"/>
          <w:szCs w:val="18"/>
        </w:rPr>
        <w:t>Quadruple Provinces Marginal Central Hospital</w:t>
      </w:r>
      <w:r w:rsidR="00A75D59" w:rsidRPr="00A75D59">
        <w:rPr>
          <w:sz w:val="18"/>
          <w:szCs w:val="18"/>
        </w:rPr>
        <w:t xml:space="preserve"> </w:t>
      </w:r>
      <w:r w:rsidRPr="00A75D59">
        <w:rPr>
          <w:sz w:val="18"/>
          <w:szCs w:val="18"/>
        </w:rPr>
        <w:t xml:space="preserve">in </w:t>
      </w:r>
      <w:proofErr w:type="spellStart"/>
      <w:r w:rsidRPr="00A75D59">
        <w:rPr>
          <w:sz w:val="18"/>
          <w:szCs w:val="18"/>
        </w:rPr>
        <w:t>Quzhou</w:t>
      </w:r>
      <w:proofErr w:type="spellEnd"/>
      <w:r w:rsidRPr="00A75D59">
        <w:rPr>
          <w:sz w:val="18"/>
          <w:szCs w:val="18"/>
        </w:rPr>
        <w:t>, Wenzhou Medical University, P.R. China</w:t>
      </w:r>
    </w:p>
    <w:p w14:paraId="33017F12" w14:textId="77777777" w:rsidR="004D72C7" w:rsidRPr="00A75D59" w:rsidRDefault="004D72C7" w:rsidP="00A75D59">
      <w:pPr>
        <w:pStyle w:val="a3"/>
        <w:numPr>
          <w:ilvl w:val="0"/>
          <w:numId w:val="2"/>
        </w:numPr>
        <w:rPr>
          <w:sz w:val="18"/>
          <w:szCs w:val="18"/>
        </w:rPr>
      </w:pPr>
      <w:r w:rsidRPr="00A75D59">
        <w:rPr>
          <w:sz w:val="18"/>
          <w:szCs w:val="18"/>
        </w:rPr>
        <w:t xml:space="preserve">The Key Lab for Pulmonary Intervention Laboratory in Zhejiang Province and the Center </w:t>
      </w:r>
      <w:r w:rsidRPr="00A75D59">
        <w:rPr>
          <w:rFonts w:hint="eastAsia"/>
          <w:sz w:val="18"/>
          <w:szCs w:val="18"/>
        </w:rPr>
        <w:t>f</w:t>
      </w:r>
      <w:r w:rsidRPr="00A75D59">
        <w:rPr>
          <w:sz w:val="18"/>
          <w:szCs w:val="18"/>
        </w:rPr>
        <w:t xml:space="preserve">or Precision Medicine firstly affiliated hospital </w:t>
      </w:r>
      <w:proofErr w:type="gramStart"/>
      <w:r w:rsidRPr="00A75D59">
        <w:rPr>
          <w:sz w:val="18"/>
          <w:szCs w:val="18"/>
        </w:rPr>
        <w:t>in  Wenzhou</w:t>
      </w:r>
      <w:proofErr w:type="gramEnd"/>
      <w:r w:rsidRPr="00A75D59">
        <w:rPr>
          <w:sz w:val="18"/>
          <w:szCs w:val="18"/>
        </w:rPr>
        <w:t>, Wenzhou Medical University, P.R. China</w:t>
      </w:r>
    </w:p>
    <w:p w14:paraId="5B7494DA" w14:textId="77777777" w:rsidR="004D72C7" w:rsidRPr="00A75D59" w:rsidRDefault="004D72C7" w:rsidP="00A75D59">
      <w:pPr>
        <w:pStyle w:val="a3"/>
        <w:numPr>
          <w:ilvl w:val="0"/>
          <w:numId w:val="2"/>
        </w:numPr>
        <w:rPr>
          <w:sz w:val="18"/>
          <w:szCs w:val="18"/>
        </w:rPr>
      </w:pPr>
      <w:r w:rsidRPr="00A75D59">
        <w:rPr>
          <w:sz w:val="18"/>
          <w:szCs w:val="18"/>
        </w:rPr>
        <w:t>C</w:t>
      </w:r>
      <w:r w:rsidRPr="00A75D59">
        <w:rPr>
          <w:rFonts w:hint="eastAsia"/>
          <w:sz w:val="18"/>
          <w:szCs w:val="18"/>
        </w:rPr>
        <w:t>oll</w:t>
      </w:r>
      <w:r w:rsidRPr="00A75D59">
        <w:rPr>
          <w:sz w:val="18"/>
          <w:szCs w:val="18"/>
        </w:rPr>
        <w:t>ege Of Life Science, Wenzhou University, P.R. China</w:t>
      </w:r>
    </w:p>
    <w:p w14:paraId="227F5BB2" w14:textId="77777777" w:rsidR="004D72C7" w:rsidRPr="00A75D59" w:rsidRDefault="004D72C7" w:rsidP="00A75D59">
      <w:pPr>
        <w:pStyle w:val="a3"/>
        <w:numPr>
          <w:ilvl w:val="0"/>
          <w:numId w:val="2"/>
        </w:numPr>
        <w:rPr>
          <w:sz w:val="18"/>
          <w:szCs w:val="18"/>
        </w:rPr>
      </w:pPr>
      <w:r w:rsidRPr="00A75D59">
        <w:rPr>
          <w:sz w:val="18"/>
          <w:szCs w:val="18"/>
        </w:rPr>
        <w:t>Genome England, UK</w:t>
      </w:r>
    </w:p>
    <w:p w14:paraId="0AED6FBE" w14:textId="77777777" w:rsidR="004D72C7" w:rsidRPr="00F45A69" w:rsidRDefault="004D72C7" w:rsidP="004D72C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45A69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14:paraId="51E488B7" w14:textId="77777777" w:rsidR="004D72C7" w:rsidRPr="00F45A69" w:rsidRDefault="004D72C7" w:rsidP="004D72C7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45A69">
        <w:rPr>
          <w:rFonts w:asciiTheme="majorBidi" w:hAnsiTheme="majorBidi" w:cstheme="majorBidi"/>
          <w:sz w:val="24"/>
          <w:szCs w:val="24"/>
        </w:rPr>
        <w:t>Non-small cell lung cancer (NSCLC) is known to carry heavy mutation load. Besides smoking, APOBEC</w:t>
      </w:r>
      <w:r>
        <w:rPr>
          <w:rFonts w:asciiTheme="majorBidi" w:hAnsiTheme="majorBidi" w:cstheme="majorBidi"/>
          <w:sz w:val="24"/>
          <w:szCs w:val="24"/>
        </w:rPr>
        <w:t xml:space="preserve"> family</w:t>
      </w:r>
      <w:r w:rsidRPr="00F45A69">
        <w:rPr>
          <w:rFonts w:asciiTheme="majorBidi" w:hAnsiTheme="majorBidi" w:cstheme="majorBidi"/>
          <w:sz w:val="24"/>
          <w:szCs w:val="24"/>
        </w:rPr>
        <w:t xml:space="preserve"> plays a key role in the mutation process of NSCLC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45A69">
        <w:rPr>
          <w:rFonts w:asciiTheme="majorBidi" w:hAnsiTheme="majorBidi" w:cstheme="majorBidi"/>
          <w:sz w:val="24"/>
          <w:szCs w:val="24"/>
        </w:rPr>
        <w:t>passive</w:t>
      </w:r>
      <w:r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non smoking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patience. Among </w:t>
      </w:r>
      <w:r w:rsidRPr="00F45A69">
        <w:rPr>
          <w:rFonts w:asciiTheme="majorBidi" w:hAnsiTheme="majorBidi" w:cstheme="majorBidi"/>
          <w:sz w:val="24"/>
          <w:szCs w:val="24"/>
        </w:rPr>
        <w:t>APOBEC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 xml:space="preserve">family, </w:t>
      </w:r>
      <w:r w:rsidRPr="00F45A69">
        <w:rPr>
          <w:rFonts w:asciiTheme="majorBidi" w:hAnsiTheme="majorBidi" w:cstheme="majorBidi"/>
          <w:sz w:val="24"/>
          <w:szCs w:val="24"/>
        </w:rPr>
        <w:t xml:space="preserve"> APOBEC</w:t>
      </w:r>
      <w:proofErr w:type="gramEnd"/>
      <w:r w:rsidRPr="00F45A69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B </w:t>
      </w:r>
      <w:r w:rsidRPr="00F45A69">
        <w:rPr>
          <w:rFonts w:asciiTheme="majorBidi" w:hAnsiTheme="majorBidi" w:cstheme="majorBidi"/>
          <w:sz w:val="24"/>
          <w:szCs w:val="24"/>
        </w:rPr>
        <w:t>is also reported to be upregulated and predicts bad prognosis in NSCLC. However, targeting APOBEC3B high NSCLC is still a big challenge</w:t>
      </w:r>
      <w:r>
        <w:rPr>
          <w:rFonts w:asciiTheme="majorBidi" w:hAnsiTheme="majorBidi" w:cstheme="majorBidi"/>
          <w:sz w:val="24"/>
          <w:szCs w:val="24"/>
        </w:rPr>
        <w:t xml:space="preserve"> in passive smoking group</w:t>
      </w:r>
      <w:r w:rsidRPr="00F45A69">
        <w:rPr>
          <w:rFonts w:asciiTheme="majorBidi" w:hAnsiTheme="majorBidi" w:cstheme="majorBidi"/>
          <w:sz w:val="24"/>
          <w:szCs w:val="24"/>
        </w:rPr>
        <w:t xml:space="preserve">. </w:t>
      </w:r>
      <w:r w:rsidRPr="00187C31">
        <w:rPr>
          <w:rFonts w:asciiTheme="majorBidi" w:hAnsiTheme="majorBidi" w:cstheme="majorBidi"/>
          <w:sz w:val="24"/>
          <w:szCs w:val="24"/>
        </w:rPr>
        <w:t>Here our study on the lung cancer patients in three different smoking groups</w:t>
      </w:r>
      <w:r w:rsidRPr="00187C31"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Pr="00187C31">
        <w:rPr>
          <w:rFonts w:asciiTheme="majorBidi" w:hAnsiTheme="majorBidi" w:cstheme="majorBidi"/>
          <w:sz w:val="24"/>
          <w:szCs w:val="24"/>
        </w:rPr>
        <w:t>confirmed that APOBEC 3 family is involved in mutagenesis upregulation in passive smoking group.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45A69">
        <w:rPr>
          <w:rFonts w:asciiTheme="majorBidi" w:hAnsiTheme="majorBidi" w:cstheme="majorBidi"/>
          <w:sz w:val="24"/>
          <w:szCs w:val="24"/>
        </w:rPr>
        <w:t xml:space="preserve">We further studied the APOBEC3B inhibition effects on the lung cancer tumor suppression. Interestingly we observed the APOBEC3B gene knock-down through siRNA has a negative impact on cell proliferation and cell growth in A549 cell line and showed tumor suppression in the lung cancer tumor in mice. </w:t>
      </w:r>
      <w:r>
        <w:rPr>
          <w:rFonts w:asciiTheme="majorBidi" w:hAnsiTheme="majorBidi" w:cstheme="majorBidi"/>
          <w:sz w:val="24"/>
          <w:szCs w:val="24"/>
        </w:rPr>
        <w:t>T</w:t>
      </w:r>
      <w:r w:rsidRPr="00F45A69">
        <w:rPr>
          <w:rFonts w:asciiTheme="majorBidi" w:hAnsiTheme="majorBidi" w:cstheme="majorBidi"/>
          <w:sz w:val="24"/>
          <w:szCs w:val="24"/>
        </w:rPr>
        <w:t xml:space="preserve">ogether, </w:t>
      </w:r>
      <w:r>
        <w:rPr>
          <w:rFonts w:asciiTheme="majorBidi" w:hAnsiTheme="majorBidi" w:cstheme="majorBidi"/>
          <w:sz w:val="24"/>
          <w:szCs w:val="24"/>
        </w:rPr>
        <w:t xml:space="preserve">using combination approaches </w:t>
      </w:r>
      <w:proofErr w:type="gramStart"/>
      <w:r>
        <w:rPr>
          <w:rFonts w:asciiTheme="majorBidi" w:hAnsiTheme="majorBidi" w:cstheme="majorBidi"/>
          <w:sz w:val="24"/>
          <w:szCs w:val="24"/>
        </w:rPr>
        <w:t>of  patience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cohort , lung cancer cell line and mouse model, </w:t>
      </w:r>
      <w:r w:rsidRPr="00F45A69">
        <w:rPr>
          <w:rFonts w:asciiTheme="majorBidi" w:hAnsiTheme="majorBidi" w:cstheme="majorBidi"/>
          <w:sz w:val="24"/>
          <w:szCs w:val="24"/>
        </w:rPr>
        <w:t xml:space="preserve">this work provides evidence that APOBEC3B upregulation and APOBEC mutation count can be used as novel predictive markers in guiding NSCLC checkpoint in immunotherapy and its knock-down by siRNA can be considered as a potential therapy for further study. </w:t>
      </w:r>
    </w:p>
    <w:p w14:paraId="589FC1EA" w14:textId="77777777" w:rsidR="00A0203C" w:rsidRPr="004D72C7" w:rsidRDefault="00A0203C"/>
    <w:sectPr w:rsidR="00A0203C" w:rsidRPr="004D72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236FD"/>
    <w:multiLevelType w:val="hybridMultilevel"/>
    <w:tmpl w:val="A0881CD4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5BB5074"/>
    <w:multiLevelType w:val="hybridMultilevel"/>
    <w:tmpl w:val="4B7E733A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97306034">
    <w:abstractNumId w:val="0"/>
  </w:num>
  <w:num w:numId="2" w16cid:durableId="2124494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C7"/>
    <w:rsid w:val="000816EF"/>
    <w:rsid w:val="004D72C7"/>
    <w:rsid w:val="00A0203C"/>
    <w:rsid w:val="00A75D59"/>
    <w:rsid w:val="00F4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1B747C"/>
  <w15:chartTrackingRefBased/>
  <w15:docId w15:val="{393CCF6F-4C41-7443-8756-68450E1B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2C7"/>
    <w:pPr>
      <w:spacing w:after="160" w:line="259" w:lineRule="auto"/>
    </w:pPr>
    <w:rPr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2C7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jx ming</dc:creator>
  <cp:keywords/>
  <dc:description/>
  <cp:lastModifiedBy>jx ming</cp:lastModifiedBy>
  <cp:revision>2</cp:revision>
  <dcterms:created xsi:type="dcterms:W3CDTF">2023-08-15T09:20:00Z</dcterms:created>
  <dcterms:modified xsi:type="dcterms:W3CDTF">2023-08-15T09:20:00Z</dcterms:modified>
</cp:coreProperties>
</file>