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90FE9" w14:textId="65904E7A" w:rsidR="00D03746" w:rsidRPr="007950A8" w:rsidRDefault="00D03746">
      <w:pPr>
        <w:rPr>
          <w:b/>
          <w:bCs/>
          <w:sz w:val="24"/>
          <w:szCs w:val="24"/>
        </w:rPr>
      </w:pPr>
    </w:p>
    <w:p w14:paraId="7B38C7BB" w14:textId="4E82790F" w:rsidR="00953C3F" w:rsidRDefault="00953C3F" w:rsidP="00953C3F">
      <w:pPr>
        <w:spacing w:line="276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950A8">
        <w:rPr>
          <w:rFonts w:asciiTheme="majorBidi" w:hAnsiTheme="majorBidi" w:cstheme="majorBidi"/>
          <w:b/>
          <w:bCs/>
          <w:sz w:val="24"/>
          <w:szCs w:val="24"/>
        </w:rPr>
        <w:t xml:space="preserve">Skin Delivery of </w:t>
      </w:r>
      <w:proofErr w:type="spellStart"/>
      <w:r w:rsidRPr="007950A8">
        <w:rPr>
          <w:rFonts w:asciiTheme="majorBidi" w:hAnsiTheme="majorBidi" w:cstheme="majorBidi"/>
          <w:b/>
          <w:bCs/>
          <w:sz w:val="24"/>
          <w:szCs w:val="24"/>
        </w:rPr>
        <w:t>Niosome</w:t>
      </w:r>
      <w:proofErr w:type="spellEnd"/>
      <w:r w:rsidRPr="007950A8">
        <w:rPr>
          <w:rFonts w:asciiTheme="majorBidi" w:hAnsiTheme="majorBidi" w:cstheme="majorBidi"/>
          <w:b/>
          <w:bCs/>
          <w:sz w:val="24"/>
          <w:szCs w:val="24"/>
        </w:rPr>
        <w:t xml:space="preserve"> encapsulated bromelain for treatment of skin cancer</w:t>
      </w:r>
    </w:p>
    <w:p w14:paraId="7E6B134E" w14:textId="4338C25F" w:rsidR="007950A8" w:rsidRPr="007950A8" w:rsidRDefault="007950A8" w:rsidP="007950A8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14:paraId="4C533DA7" w14:textId="73857FF0" w:rsidR="00953C3F" w:rsidRDefault="007950A8" w:rsidP="007950A8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Siavash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hosseinpour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Chermahin</w:t>
      </w:r>
      <w:proofErr w:type="spellEnd"/>
    </w:p>
    <w:p w14:paraId="638A1AB0" w14:textId="78883C01" w:rsidR="007950A8" w:rsidRPr="007950A8" w:rsidRDefault="007950A8" w:rsidP="007950A8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UG, Georgia</w:t>
      </w:r>
    </w:p>
    <w:p w14:paraId="2AF84621" w14:textId="77777777" w:rsidR="007950A8" w:rsidRPr="007950A8" w:rsidRDefault="007950A8" w:rsidP="007950A8">
      <w:pPr>
        <w:spacing w:line="360" w:lineRule="auto"/>
        <w:jc w:val="both"/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7950A8">
        <w:rPr>
          <w:rFonts w:asciiTheme="majorBidi" w:hAnsiTheme="majorBidi" w:cstheme="majorBidi"/>
          <w:b/>
          <w:bCs/>
        </w:rPr>
        <w:t>Statement of the Problem</w:t>
      </w:r>
      <w:r w:rsidRPr="007950A8">
        <w:rPr>
          <w:rFonts w:asciiTheme="majorBidi" w:hAnsiTheme="majorBidi" w:cstheme="majorBidi"/>
          <w:b/>
          <w:bCs/>
        </w:rPr>
        <w:t>:</w:t>
      </w:r>
      <w:r w:rsidRPr="007950A8">
        <w:rPr>
          <w:rFonts w:asciiTheme="majorBidi" w:hAnsiTheme="majorBidi" w:cstheme="majorBidi"/>
        </w:rPr>
        <w:t xml:space="preserve"> </w:t>
      </w:r>
      <w:r w:rsidR="00953C3F" w:rsidRPr="007950A8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Inflammation caused by skin cancer is a pathogenic factor in ectodermal tissues, but applicable prescriptions like NSAIDS (non-steroidal anti-inflammatory drugs) have serious side-effects. Bromelain, as an alternative, is a more natural, safer, and more effective remedy with no side-effects. On the other hand, the existence of the stratum corneum (SC), which acts as a skin barrier, needs a novel method for the delivery of specific doses of bromelain to the desired action site. </w:t>
      </w:r>
    </w:p>
    <w:p w14:paraId="30711F16" w14:textId="0AA33B14" w:rsidR="00953C3F" w:rsidRDefault="007950A8" w:rsidP="007950A8">
      <w:pPr>
        <w:spacing w:line="360" w:lineRule="auto"/>
        <w:jc w:val="both"/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7950A8">
        <w:rPr>
          <w:rFonts w:asciiTheme="majorBidi" w:hAnsiTheme="majorBidi" w:cstheme="majorBidi"/>
          <w:b/>
          <w:bCs/>
        </w:rPr>
        <w:t>Conclusion &amp; Significance:</w:t>
      </w:r>
      <w:r w:rsidRPr="007950A8">
        <w:rPr>
          <w:rFonts w:asciiTheme="majorBidi" w:hAnsiTheme="majorBidi" w:cstheme="majorBidi"/>
        </w:rPr>
        <w:t xml:space="preserve"> </w:t>
      </w:r>
      <w:r w:rsidR="00953C3F" w:rsidRPr="007950A8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In this case, </w:t>
      </w:r>
      <w:proofErr w:type="spellStart"/>
      <w:r w:rsidR="00953C3F" w:rsidRPr="007950A8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niosome</w:t>
      </w:r>
      <w:proofErr w:type="spellEnd"/>
      <w:r w:rsidR="00953C3F" w:rsidRPr="007950A8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provide a practical </w:t>
      </w:r>
      <w:r w:rsidRPr="007950A8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and effective </w:t>
      </w:r>
      <w:r w:rsidR="00953C3F" w:rsidRPr="007950A8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system for the delivery of bromelain to the inflamed section of the skin cancer.</w:t>
      </w:r>
    </w:p>
    <w:p w14:paraId="331E159B" w14:textId="77777777" w:rsidR="008D6ED2" w:rsidRDefault="008D6ED2" w:rsidP="007950A8">
      <w:pPr>
        <w:spacing w:line="360" w:lineRule="auto"/>
        <w:jc w:val="both"/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</w:p>
    <w:p w14:paraId="29BC7BE0" w14:textId="3EE8F8F2" w:rsidR="008D6ED2" w:rsidRPr="008D6ED2" w:rsidRDefault="008D6ED2" w:rsidP="008D6ED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D6ED2">
        <w:rPr>
          <w:rFonts w:asciiTheme="majorBidi" w:hAnsiTheme="majorBidi" w:cstheme="majorBidi"/>
          <w:b/>
          <w:bCs/>
          <w:sz w:val="24"/>
          <w:szCs w:val="24"/>
        </w:rPr>
        <w:t>Biography</w:t>
      </w:r>
      <w:r w:rsidRPr="008D6ED2">
        <w:rPr>
          <w:rFonts w:asciiTheme="majorBidi" w:hAnsiTheme="majorBidi" w:cstheme="majorBidi"/>
          <w:sz w:val="24"/>
          <w:szCs w:val="24"/>
        </w:rPr>
        <w:t xml:space="preserve">  </w:t>
      </w:r>
    </w:p>
    <w:p w14:paraId="0C73867E" w14:textId="3C3E6BD8" w:rsidR="008D6ED2" w:rsidRDefault="008D6ED2" w:rsidP="008D6ED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D6ED2">
        <w:rPr>
          <w:rFonts w:asciiTheme="majorBidi" w:hAnsiTheme="majorBidi" w:cstheme="majorBidi"/>
          <w:sz w:val="24"/>
          <w:szCs w:val="24"/>
        </w:rPr>
        <w:t>Siavash</w:t>
      </w:r>
      <w:proofErr w:type="spellEnd"/>
      <w:r w:rsidRPr="008D6ED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D6ED2">
        <w:rPr>
          <w:rFonts w:asciiTheme="majorBidi" w:hAnsiTheme="majorBidi" w:cstheme="majorBidi"/>
          <w:sz w:val="24"/>
          <w:szCs w:val="24"/>
        </w:rPr>
        <w:t>Hosseinpour</w:t>
      </w:r>
      <w:proofErr w:type="spellEnd"/>
      <w:r w:rsidRPr="008D6ED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D6ED2">
        <w:rPr>
          <w:rFonts w:asciiTheme="majorBidi" w:hAnsiTheme="majorBidi" w:cstheme="majorBidi"/>
          <w:sz w:val="24"/>
          <w:szCs w:val="24"/>
        </w:rPr>
        <w:t>Chermahini</w:t>
      </w:r>
      <w:proofErr w:type="spellEnd"/>
      <w:r w:rsidRPr="008D6ED2">
        <w:rPr>
          <w:rFonts w:asciiTheme="majorBidi" w:hAnsiTheme="majorBidi" w:cstheme="majorBidi"/>
          <w:sz w:val="24"/>
          <w:szCs w:val="24"/>
        </w:rPr>
        <w:t xml:space="preserve"> is a </w:t>
      </w:r>
      <w:r w:rsidR="00C94A8B" w:rsidRPr="008D6ED2">
        <w:rPr>
          <w:rFonts w:asciiTheme="majorBidi" w:hAnsiTheme="majorBidi" w:cstheme="majorBidi"/>
          <w:sz w:val="24"/>
          <w:szCs w:val="24"/>
        </w:rPr>
        <w:t>professor</w:t>
      </w:r>
      <w:r w:rsidRPr="008D6ED2">
        <w:rPr>
          <w:rFonts w:asciiTheme="majorBidi" w:hAnsiTheme="majorBidi" w:cstheme="majorBidi"/>
          <w:sz w:val="24"/>
          <w:szCs w:val="24"/>
        </w:rPr>
        <w:t xml:space="preserve"> at </w:t>
      </w:r>
      <w:r w:rsidRPr="008D6ED2">
        <w:rPr>
          <w:rFonts w:asciiTheme="majorBidi" w:hAnsiTheme="majorBidi" w:cstheme="majorBidi"/>
          <w:sz w:val="24"/>
          <w:szCs w:val="24"/>
        </w:rPr>
        <w:t>school of Science and Technology</w:t>
      </w:r>
      <w:r w:rsidRPr="008D6ED2">
        <w:rPr>
          <w:rFonts w:asciiTheme="majorBidi" w:hAnsiTheme="majorBidi" w:cstheme="majorBidi"/>
          <w:sz w:val="24"/>
          <w:szCs w:val="24"/>
        </w:rPr>
        <w:t>, University</w:t>
      </w:r>
      <w:r w:rsidRPr="008D6ED2">
        <w:rPr>
          <w:rFonts w:asciiTheme="majorBidi" w:hAnsiTheme="majorBidi" w:cstheme="majorBidi"/>
          <w:sz w:val="24"/>
          <w:szCs w:val="24"/>
        </w:rPr>
        <w:t xml:space="preserve"> of Georgia</w:t>
      </w:r>
      <w:r w:rsidRPr="008D6ED2">
        <w:rPr>
          <w:rFonts w:asciiTheme="majorBidi" w:hAnsiTheme="majorBidi" w:cstheme="majorBidi"/>
          <w:sz w:val="24"/>
          <w:szCs w:val="24"/>
        </w:rPr>
        <w:t xml:space="preserve">, </w:t>
      </w:r>
      <w:r w:rsidRPr="008D6ED2">
        <w:rPr>
          <w:rFonts w:asciiTheme="majorBidi" w:hAnsiTheme="majorBidi" w:cstheme="majorBidi"/>
          <w:sz w:val="24"/>
          <w:szCs w:val="24"/>
        </w:rPr>
        <w:t>Georgia</w:t>
      </w:r>
      <w:r w:rsidRPr="008D6ED2">
        <w:rPr>
          <w:rFonts w:asciiTheme="majorBidi" w:hAnsiTheme="majorBidi" w:cstheme="majorBidi"/>
          <w:sz w:val="24"/>
          <w:szCs w:val="24"/>
        </w:rPr>
        <w:t xml:space="preserve">. Fellow of </w:t>
      </w:r>
      <w:r w:rsidRPr="008D6ED2">
        <w:rPr>
          <w:rFonts w:asciiTheme="majorBidi" w:hAnsiTheme="majorBidi" w:cstheme="majorBidi"/>
          <w:sz w:val="24"/>
          <w:szCs w:val="24"/>
        </w:rPr>
        <w:t>Elite of Iran.</w:t>
      </w:r>
      <w:r w:rsidRPr="008D6ED2">
        <w:rPr>
          <w:rFonts w:asciiTheme="majorBidi" w:hAnsiTheme="majorBidi" w:cstheme="majorBidi"/>
          <w:sz w:val="24"/>
          <w:szCs w:val="24"/>
        </w:rPr>
        <w:t xml:space="preserve"> Received his PhD from </w:t>
      </w:r>
      <w:r w:rsidRPr="008D6ED2">
        <w:rPr>
          <w:rFonts w:asciiTheme="majorBidi" w:hAnsiTheme="majorBidi" w:cstheme="majorBidi"/>
          <w:sz w:val="24"/>
          <w:szCs w:val="24"/>
        </w:rPr>
        <w:t>UTM, Malaysia in 2014.</w:t>
      </w:r>
      <w:r w:rsidRPr="008D6ED2">
        <w:rPr>
          <w:rFonts w:asciiTheme="majorBidi" w:hAnsiTheme="majorBidi" w:cstheme="majorBidi"/>
          <w:sz w:val="24"/>
          <w:szCs w:val="24"/>
        </w:rPr>
        <w:t xml:space="preserve"> Lecturer from 20</w:t>
      </w:r>
      <w:r w:rsidRPr="008D6ED2">
        <w:rPr>
          <w:rFonts w:asciiTheme="majorBidi" w:hAnsiTheme="majorBidi" w:cstheme="majorBidi"/>
          <w:sz w:val="24"/>
          <w:szCs w:val="24"/>
        </w:rPr>
        <w:t>10</w:t>
      </w:r>
      <w:r w:rsidRPr="008D6ED2">
        <w:rPr>
          <w:rFonts w:asciiTheme="majorBidi" w:hAnsiTheme="majorBidi" w:cstheme="majorBidi"/>
          <w:sz w:val="24"/>
          <w:szCs w:val="24"/>
        </w:rPr>
        <w:t xml:space="preserve">. He has </w:t>
      </w:r>
      <w:r w:rsidR="00C94A8B" w:rsidRPr="008D6ED2">
        <w:rPr>
          <w:rFonts w:asciiTheme="majorBidi" w:hAnsiTheme="majorBidi" w:cstheme="majorBidi"/>
          <w:sz w:val="24"/>
          <w:szCs w:val="24"/>
        </w:rPr>
        <w:t>published papers</w:t>
      </w:r>
      <w:r w:rsidRPr="008D6ED2">
        <w:rPr>
          <w:rFonts w:asciiTheme="majorBidi" w:hAnsiTheme="majorBidi" w:cstheme="majorBidi"/>
          <w:sz w:val="24"/>
          <w:szCs w:val="24"/>
        </w:rPr>
        <w:t xml:space="preserve"> in reputed journals (</w:t>
      </w:r>
      <w:r w:rsidRPr="008D6ED2">
        <w:rPr>
          <w:rFonts w:asciiTheme="majorBidi" w:hAnsiTheme="majorBidi" w:cstheme="majorBidi"/>
          <w:sz w:val="24"/>
          <w:szCs w:val="24"/>
        </w:rPr>
        <w:t xml:space="preserve">325 </w:t>
      </w:r>
      <w:r w:rsidRPr="008D6ED2">
        <w:rPr>
          <w:rFonts w:asciiTheme="majorBidi" w:hAnsiTheme="majorBidi" w:cstheme="majorBidi"/>
          <w:sz w:val="24"/>
          <w:szCs w:val="24"/>
        </w:rPr>
        <w:t xml:space="preserve">citations by Google Scholar, h-index </w:t>
      </w:r>
      <w:r w:rsidRPr="008D6ED2">
        <w:rPr>
          <w:rFonts w:asciiTheme="majorBidi" w:hAnsiTheme="majorBidi" w:cstheme="majorBidi"/>
          <w:sz w:val="24"/>
          <w:szCs w:val="24"/>
        </w:rPr>
        <w:t>8</w:t>
      </w:r>
      <w:r w:rsidRPr="008D6ED2">
        <w:rPr>
          <w:rFonts w:asciiTheme="majorBidi" w:hAnsiTheme="majorBidi" w:cstheme="majorBidi"/>
          <w:sz w:val="24"/>
          <w:szCs w:val="24"/>
        </w:rPr>
        <w:t xml:space="preserve">). Has been serving as an Editorial board </w:t>
      </w:r>
      <w:r w:rsidRPr="008D6ED2">
        <w:rPr>
          <w:rFonts w:asciiTheme="majorBidi" w:hAnsiTheme="majorBidi" w:cstheme="majorBidi"/>
          <w:sz w:val="24"/>
          <w:szCs w:val="24"/>
        </w:rPr>
        <w:t xml:space="preserve">of </w:t>
      </w:r>
      <w:r w:rsidRPr="008D6ED2">
        <w:rPr>
          <w:rFonts w:asciiTheme="majorBidi" w:hAnsiTheme="majorBidi" w:cstheme="majorBidi"/>
          <w:sz w:val="24"/>
          <w:szCs w:val="24"/>
        </w:rPr>
        <w:t>several journals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316947CC" w14:textId="2EF42292" w:rsidR="008D6ED2" w:rsidRDefault="008D6ED2" w:rsidP="008D6ED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3A19669" w14:textId="77777777" w:rsidR="008D6ED2" w:rsidRPr="00381754" w:rsidRDefault="008D6ED2" w:rsidP="008D6ED2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rFonts w:asciiTheme="majorBidi" w:hAnsiTheme="majorBidi" w:cstheme="majorBidi"/>
          <w:color w:val="333333"/>
          <w:sz w:val="18"/>
          <w:szCs w:val="18"/>
        </w:rPr>
      </w:pPr>
      <w:r w:rsidRPr="00381754">
        <w:rPr>
          <w:rFonts w:asciiTheme="majorBidi" w:hAnsiTheme="majorBidi" w:cstheme="majorBidi"/>
          <w:color w:val="333333"/>
          <w:sz w:val="18"/>
          <w:szCs w:val="18"/>
        </w:rPr>
        <w:t>References</w:t>
      </w:r>
    </w:p>
    <w:p w14:paraId="3913EF32" w14:textId="77777777" w:rsidR="008D6ED2" w:rsidRPr="00D55FA4" w:rsidRDefault="008D6ED2" w:rsidP="008D6ED2">
      <w:pPr>
        <w:numPr>
          <w:ilvl w:val="0"/>
          <w:numId w:val="1"/>
        </w:numPr>
        <w:shd w:val="clear" w:color="auto" w:fill="FFFFFF"/>
        <w:spacing w:before="100" w:beforeAutospacing="1" w:after="75" w:line="276" w:lineRule="auto"/>
        <w:rPr>
          <w:rFonts w:asciiTheme="majorBidi" w:eastAsia="Times New Roman" w:hAnsiTheme="majorBidi" w:cstheme="majorBidi"/>
          <w:sz w:val="18"/>
          <w:szCs w:val="18"/>
        </w:rPr>
      </w:pPr>
      <w:hyperlink r:id="rId5" w:history="1">
        <w:proofErr w:type="spellStart"/>
        <w:r w:rsidRPr="00D55FA4">
          <w:rPr>
            <w:rFonts w:asciiTheme="majorBidi" w:eastAsia="Times New Roman" w:hAnsiTheme="majorBidi" w:cstheme="majorBidi"/>
            <w:sz w:val="18"/>
            <w:szCs w:val="18"/>
          </w:rPr>
          <w:t>Mangesi</w:t>
        </w:r>
        <w:proofErr w:type="spellEnd"/>
        <w:r w:rsidRPr="00D55FA4">
          <w:rPr>
            <w:rFonts w:asciiTheme="majorBidi" w:eastAsia="Times New Roman" w:hAnsiTheme="majorBidi" w:cstheme="majorBidi"/>
            <w:sz w:val="18"/>
            <w:szCs w:val="18"/>
          </w:rPr>
          <w:t xml:space="preserve"> L, </w:t>
        </w:r>
        <w:proofErr w:type="spellStart"/>
        <w:r w:rsidRPr="00D55FA4">
          <w:rPr>
            <w:rFonts w:asciiTheme="majorBidi" w:eastAsia="Times New Roman" w:hAnsiTheme="majorBidi" w:cstheme="majorBidi"/>
            <w:sz w:val="18"/>
            <w:szCs w:val="18"/>
          </w:rPr>
          <w:t>Zakarija</w:t>
        </w:r>
        <w:proofErr w:type="spellEnd"/>
        <w:r w:rsidRPr="00D55FA4">
          <w:rPr>
            <w:rFonts w:asciiTheme="majorBidi" w:eastAsia="Times New Roman" w:hAnsiTheme="majorBidi" w:cstheme="majorBidi"/>
            <w:sz w:val="18"/>
            <w:szCs w:val="18"/>
          </w:rPr>
          <w:t xml:space="preserve"> </w:t>
        </w:r>
        <w:proofErr w:type="spellStart"/>
        <w:r w:rsidRPr="00D55FA4">
          <w:rPr>
            <w:rFonts w:asciiTheme="majorBidi" w:eastAsia="Times New Roman" w:hAnsiTheme="majorBidi" w:cstheme="majorBidi"/>
            <w:sz w:val="18"/>
            <w:szCs w:val="18"/>
          </w:rPr>
          <w:t>Grkovic</w:t>
        </w:r>
        <w:proofErr w:type="spellEnd"/>
        <w:r w:rsidRPr="00D55FA4">
          <w:rPr>
            <w:rFonts w:asciiTheme="majorBidi" w:eastAsia="Times New Roman" w:hAnsiTheme="majorBidi" w:cstheme="majorBidi"/>
            <w:sz w:val="18"/>
            <w:szCs w:val="18"/>
          </w:rPr>
          <w:t xml:space="preserve"> I (2016) Treatments for breast engorgement during lactation. Cochrane Database Syst Rev (6): CD00694.</w:t>
        </w:r>
      </w:hyperlink>
    </w:p>
    <w:p w14:paraId="4CCC1BB8" w14:textId="77777777" w:rsidR="008D6ED2" w:rsidRPr="00D55FA4" w:rsidRDefault="008D6ED2" w:rsidP="008D6ED2">
      <w:pPr>
        <w:numPr>
          <w:ilvl w:val="0"/>
          <w:numId w:val="1"/>
        </w:numPr>
        <w:shd w:val="clear" w:color="auto" w:fill="FFFFFF"/>
        <w:spacing w:before="100" w:beforeAutospacing="1" w:after="75" w:line="276" w:lineRule="auto"/>
        <w:rPr>
          <w:rFonts w:asciiTheme="majorBidi" w:eastAsia="Times New Roman" w:hAnsiTheme="majorBidi" w:cstheme="majorBidi"/>
          <w:sz w:val="18"/>
          <w:szCs w:val="18"/>
        </w:rPr>
      </w:pPr>
      <w:hyperlink r:id="rId6" w:history="1">
        <w:r w:rsidRPr="00D55FA4">
          <w:rPr>
            <w:rFonts w:asciiTheme="majorBidi" w:eastAsia="Times New Roman" w:hAnsiTheme="majorBidi" w:cstheme="majorBidi"/>
            <w:sz w:val="18"/>
            <w:szCs w:val="18"/>
          </w:rPr>
          <w:t xml:space="preserve">Brien S, </w:t>
        </w:r>
        <w:proofErr w:type="spellStart"/>
        <w:r w:rsidRPr="00D55FA4">
          <w:rPr>
            <w:rFonts w:asciiTheme="majorBidi" w:eastAsia="Times New Roman" w:hAnsiTheme="majorBidi" w:cstheme="majorBidi"/>
            <w:sz w:val="18"/>
            <w:szCs w:val="18"/>
          </w:rPr>
          <w:t>Lewith</w:t>
        </w:r>
        <w:proofErr w:type="spellEnd"/>
        <w:r w:rsidRPr="00D55FA4">
          <w:rPr>
            <w:rFonts w:asciiTheme="majorBidi" w:eastAsia="Times New Roman" w:hAnsiTheme="majorBidi" w:cstheme="majorBidi"/>
            <w:sz w:val="18"/>
            <w:szCs w:val="18"/>
          </w:rPr>
          <w:t xml:space="preserve"> G, Walker A, Middleton R, Prescott P, et al. (2006) Bromelain as an adjunctive treatment for moderate-to-severe osteoarthritis of the knee: a randomized placebo-controlled pilot study. QJM 99 (12): 841-850.</w:t>
        </w:r>
      </w:hyperlink>
    </w:p>
    <w:p w14:paraId="4D50316B" w14:textId="77777777" w:rsidR="008D6ED2" w:rsidRPr="00D55FA4" w:rsidRDefault="008D6ED2" w:rsidP="008D6ED2">
      <w:pPr>
        <w:numPr>
          <w:ilvl w:val="0"/>
          <w:numId w:val="1"/>
        </w:numPr>
        <w:shd w:val="clear" w:color="auto" w:fill="FFFFFF"/>
        <w:spacing w:before="100" w:beforeAutospacing="1" w:after="75" w:line="276" w:lineRule="auto"/>
        <w:rPr>
          <w:rFonts w:asciiTheme="majorBidi" w:eastAsia="Times New Roman" w:hAnsiTheme="majorBidi" w:cstheme="majorBidi"/>
          <w:sz w:val="18"/>
          <w:szCs w:val="18"/>
        </w:rPr>
      </w:pPr>
      <w:hyperlink r:id="rId7" w:history="1">
        <w:r w:rsidRPr="00D55FA4">
          <w:rPr>
            <w:rFonts w:asciiTheme="majorBidi" w:eastAsia="Times New Roman" w:hAnsiTheme="majorBidi" w:cstheme="majorBidi"/>
            <w:sz w:val="18"/>
            <w:szCs w:val="18"/>
          </w:rPr>
          <w:t xml:space="preserve">Klein G, </w:t>
        </w:r>
        <w:proofErr w:type="spellStart"/>
        <w:r w:rsidRPr="00D55FA4">
          <w:rPr>
            <w:rFonts w:asciiTheme="majorBidi" w:eastAsia="Times New Roman" w:hAnsiTheme="majorBidi" w:cstheme="majorBidi"/>
            <w:sz w:val="18"/>
            <w:szCs w:val="18"/>
          </w:rPr>
          <w:t>Kullich</w:t>
        </w:r>
        <w:proofErr w:type="spellEnd"/>
        <w:r w:rsidRPr="00D55FA4">
          <w:rPr>
            <w:rFonts w:asciiTheme="majorBidi" w:eastAsia="Times New Roman" w:hAnsiTheme="majorBidi" w:cstheme="majorBidi"/>
            <w:sz w:val="18"/>
            <w:szCs w:val="18"/>
          </w:rPr>
          <w:t xml:space="preserve"> W, </w:t>
        </w:r>
        <w:proofErr w:type="spellStart"/>
        <w:r w:rsidRPr="00D55FA4">
          <w:rPr>
            <w:rFonts w:asciiTheme="majorBidi" w:eastAsia="Times New Roman" w:hAnsiTheme="majorBidi" w:cstheme="majorBidi"/>
            <w:sz w:val="18"/>
            <w:szCs w:val="18"/>
          </w:rPr>
          <w:t>Schnitker</w:t>
        </w:r>
        <w:proofErr w:type="spellEnd"/>
        <w:r w:rsidRPr="00D55FA4">
          <w:rPr>
            <w:rFonts w:asciiTheme="majorBidi" w:eastAsia="Times New Roman" w:hAnsiTheme="majorBidi" w:cstheme="majorBidi"/>
            <w:sz w:val="18"/>
            <w:szCs w:val="18"/>
          </w:rPr>
          <w:t xml:space="preserve"> J, Schwann, H (2006) Efficacy and tolerance of an oral enzyme combination in painful osteoarthritis of the </w:t>
        </w:r>
        <w:proofErr w:type="spellStart"/>
        <w:r w:rsidRPr="00D55FA4">
          <w:rPr>
            <w:rFonts w:asciiTheme="majorBidi" w:eastAsia="Times New Roman" w:hAnsiTheme="majorBidi" w:cstheme="majorBidi"/>
            <w:sz w:val="18"/>
            <w:szCs w:val="18"/>
          </w:rPr>
          <w:t>hip.A</w:t>
        </w:r>
        <w:proofErr w:type="spellEnd"/>
        <w:r w:rsidRPr="00D55FA4">
          <w:rPr>
            <w:rFonts w:asciiTheme="majorBidi" w:eastAsia="Times New Roman" w:hAnsiTheme="majorBidi" w:cstheme="majorBidi"/>
            <w:sz w:val="18"/>
            <w:szCs w:val="18"/>
          </w:rPr>
          <w:t xml:space="preserve"> double-blind, </w:t>
        </w:r>
        <w:proofErr w:type="spellStart"/>
        <w:r w:rsidRPr="00D55FA4">
          <w:rPr>
            <w:rFonts w:asciiTheme="majorBidi" w:eastAsia="Times New Roman" w:hAnsiTheme="majorBidi" w:cstheme="majorBidi"/>
            <w:sz w:val="18"/>
            <w:szCs w:val="18"/>
          </w:rPr>
          <w:t>randomised</w:t>
        </w:r>
        <w:proofErr w:type="spellEnd"/>
        <w:r w:rsidRPr="00D55FA4">
          <w:rPr>
            <w:rFonts w:asciiTheme="majorBidi" w:eastAsia="Times New Roman" w:hAnsiTheme="majorBidi" w:cstheme="majorBidi"/>
            <w:sz w:val="18"/>
            <w:szCs w:val="18"/>
          </w:rPr>
          <w:t xml:space="preserve"> study comparing oral enzymes with non-steroidal anti-inflammatory drugs. Clin Exp </w:t>
        </w:r>
        <w:proofErr w:type="spellStart"/>
        <w:r w:rsidRPr="00D55FA4">
          <w:rPr>
            <w:rFonts w:asciiTheme="majorBidi" w:eastAsia="Times New Roman" w:hAnsiTheme="majorBidi" w:cstheme="majorBidi"/>
            <w:sz w:val="18"/>
            <w:szCs w:val="18"/>
          </w:rPr>
          <w:t>Rheumatol</w:t>
        </w:r>
        <w:proofErr w:type="spellEnd"/>
        <w:r w:rsidRPr="00D55FA4">
          <w:rPr>
            <w:rFonts w:asciiTheme="majorBidi" w:eastAsia="Times New Roman" w:hAnsiTheme="majorBidi" w:cstheme="majorBidi"/>
            <w:sz w:val="18"/>
            <w:szCs w:val="18"/>
          </w:rPr>
          <w:t xml:space="preserve"> 24(1): 25-30.</w:t>
        </w:r>
      </w:hyperlink>
    </w:p>
    <w:p w14:paraId="1884ABF7" w14:textId="77777777" w:rsidR="008D6ED2" w:rsidRPr="00D55FA4" w:rsidRDefault="008D6ED2" w:rsidP="008D6ED2">
      <w:pPr>
        <w:numPr>
          <w:ilvl w:val="0"/>
          <w:numId w:val="1"/>
        </w:numPr>
        <w:shd w:val="clear" w:color="auto" w:fill="FFFFFF"/>
        <w:spacing w:before="100" w:beforeAutospacing="1" w:after="75" w:line="276" w:lineRule="auto"/>
        <w:rPr>
          <w:rFonts w:asciiTheme="majorBidi" w:eastAsia="Times New Roman" w:hAnsiTheme="majorBidi" w:cstheme="majorBidi"/>
          <w:sz w:val="18"/>
          <w:szCs w:val="18"/>
        </w:rPr>
      </w:pPr>
      <w:hyperlink r:id="rId8" w:history="1">
        <w:r w:rsidRPr="00D55FA4">
          <w:rPr>
            <w:rFonts w:asciiTheme="majorBidi" w:eastAsia="Times New Roman" w:hAnsiTheme="majorBidi" w:cstheme="majorBidi"/>
            <w:sz w:val="18"/>
            <w:szCs w:val="18"/>
          </w:rPr>
          <w:t xml:space="preserve">Guo R, Canter PH, Ernst E (2006) Herbal medicines for the treatment of rhinosinusitis: a systematic review. </w:t>
        </w:r>
        <w:proofErr w:type="spellStart"/>
        <w:r w:rsidRPr="00D55FA4">
          <w:rPr>
            <w:rFonts w:asciiTheme="majorBidi" w:eastAsia="Times New Roman" w:hAnsiTheme="majorBidi" w:cstheme="majorBidi"/>
            <w:sz w:val="18"/>
            <w:szCs w:val="18"/>
          </w:rPr>
          <w:t>Otolaryngol</w:t>
        </w:r>
        <w:proofErr w:type="spellEnd"/>
        <w:r w:rsidRPr="00D55FA4">
          <w:rPr>
            <w:rFonts w:asciiTheme="majorBidi" w:eastAsia="Times New Roman" w:hAnsiTheme="majorBidi" w:cstheme="majorBidi"/>
            <w:sz w:val="18"/>
            <w:szCs w:val="18"/>
          </w:rPr>
          <w:t xml:space="preserve"> Head Neck Surg 135(4): 496-506.</w:t>
        </w:r>
      </w:hyperlink>
    </w:p>
    <w:p w14:paraId="6C1F880B" w14:textId="4CEC632F" w:rsidR="00953C3F" w:rsidRPr="008D6ED2" w:rsidRDefault="008D6ED2" w:rsidP="008D6ED2">
      <w:pPr>
        <w:numPr>
          <w:ilvl w:val="0"/>
          <w:numId w:val="1"/>
        </w:numPr>
        <w:shd w:val="clear" w:color="auto" w:fill="FFFFFF"/>
        <w:spacing w:before="100" w:beforeAutospacing="1" w:after="75" w:line="276" w:lineRule="auto"/>
        <w:rPr>
          <w:rFonts w:asciiTheme="majorBidi" w:eastAsia="Times New Roman" w:hAnsiTheme="majorBidi" w:cstheme="majorBidi"/>
          <w:sz w:val="18"/>
          <w:szCs w:val="18"/>
        </w:rPr>
      </w:pPr>
      <w:hyperlink r:id="rId9" w:history="1">
        <w:r w:rsidRPr="00D55FA4">
          <w:rPr>
            <w:rFonts w:asciiTheme="majorBidi" w:eastAsia="Times New Roman" w:hAnsiTheme="majorBidi" w:cstheme="majorBidi"/>
            <w:sz w:val="18"/>
            <w:szCs w:val="18"/>
          </w:rPr>
          <w:t xml:space="preserve">Shahid S, </w:t>
        </w:r>
        <w:proofErr w:type="spellStart"/>
        <w:r w:rsidRPr="00D55FA4">
          <w:rPr>
            <w:rFonts w:asciiTheme="majorBidi" w:eastAsia="Times New Roman" w:hAnsiTheme="majorBidi" w:cstheme="majorBidi"/>
            <w:sz w:val="18"/>
            <w:szCs w:val="18"/>
          </w:rPr>
          <w:t>Turakhia</w:t>
        </w:r>
        <w:proofErr w:type="spellEnd"/>
        <w:r w:rsidRPr="00D55FA4">
          <w:rPr>
            <w:rFonts w:asciiTheme="majorBidi" w:eastAsia="Times New Roman" w:hAnsiTheme="majorBidi" w:cstheme="majorBidi"/>
            <w:sz w:val="18"/>
            <w:szCs w:val="18"/>
          </w:rPr>
          <w:t xml:space="preserve"> N, Kundra M, </w:t>
        </w:r>
        <w:proofErr w:type="spellStart"/>
        <w:r w:rsidRPr="00D55FA4">
          <w:rPr>
            <w:rFonts w:asciiTheme="majorBidi" w:eastAsia="Times New Roman" w:hAnsiTheme="majorBidi" w:cstheme="majorBidi"/>
            <w:sz w:val="18"/>
            <w:szCs w:val="18"/>
          </w:rPr>
          <w:t>Shanbag</w:t>
        </w:r>
        <w:proofErr w:type="spellEnd"/>
        <w:r w:rsidRPr="00D55FA4">
          <w:rPr>
            <w:rFonts w:asciiTheme="majorBidi" w:eastAsia="Times New Roman" w:hAnsiTheme="majorBidi" w:cstheme="majorBidi"/>
            <w:sz w:val="18"/>
            <w:szCs w:val="18"/>
          </w:rPr>
          <w:t xml:space="preserve"> P, </w:t>
        </w:r>
        <w:proofErr w:type="spellStart"/>
        <w:r w:rsidRPr="00D55FA4">
          <w:rPr>
            <w:rFonts w:asciiTheme="majorBidi" w:eastAsia="Times New Roman" w:hAnsiTheme="majorBidi" w:cstheme="majorBidi"/>
            <w:sz w:val="18"/>
            <w:szCs w:val="18"/>
          </w:rPr>
          <w:t>Daftary</w:t>
        </w:r>
        <w:proofErr w:type="spellEnd"/>
        <w:r w:rsidRPr="00D55FA4">
          <w:rPr>
            <w:rFonts w:asciiTheme="majorBidi" w:eastAsia="Times New Roman" w:hAnsiTheme="majorBidi" w:cstheme="majorBidi"/>
            <w:sz w:val="18"/>
            <w:szCs w:val="18"/>
          </w:rPr>
          <w:t xml:space="preserve"> G, et al. (2002). Efficacy and safety of </w:t>
        </w:r>
        <w:proofErr w:type="spellStart"/>
        <w:r w:rsidRPr="00D55FA4">
          <w:rPr>
            <w:rFonts w:asciiTheme="majorBidi" w:eastAsia="Times New Roman" w:hAnsiTheme="majorBidi" w:cstheme="majorBidi"/>
            <w:sz w:val="18"/>
            <w:szCs w:val="18"/>
          </w:rPr>
          <w:t>Phlogenzym</w:t>
        </w:r>
        <w:proofErr w:type="spellEnd"/>
        <w:r w:rsidRPr="00D55FA4">
          <w:rPr>
            <w:rFonts w:asciiTheme="majorBidi" w:eastAsia="Times New Roman" w:hAnsiTheme="majorBidi" w:cstheme="majorBidi"/>
            <w:sz w:val="18"/>
            <w:szCs w:val="18"/>
          </w:rPr>
          <w:t>-A protease formulation, in sepsis in children. J Assoc Physicians India 50: 527-531.</w:t>
        </w:r>
      </w:hyperlink>
    </w:p>
    <w:sectPr w:rsidR="00953C3F" w:rsidRPr="008D6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C71E56"/>
    <w:multiLevelType w:val="multilevel"/>
    <w:tmpl w:val="FFCE1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AF3"/>
    <w:rsid w:val="003D2956"/>
    <w:rsid w:val="00631AF3"/>
    <w:rsid w:val="007950A8"/>
    <w:rsid w:val="008D6ED2"/>
    <w:rsid w:val="00953C3F"/>
    <w:rsid w:val="00C94A8B"/>
    <w:rsid w:val="00D0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CDB7C"/>
  <w15:chartTrackingRefBased/>
  <w15:docId w15:val="{F52BB6AB-DEE3-49E0-A623-CF876F2B2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C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D6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1701140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165398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1712176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ncbi.nlm.nih.gov/pubmed/2735142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121644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 Anvari</dc:creator>
  <cp:keywords/>
  <dc:description/>
  <cp:lastModifiedBy>Roya Anvari</cp:lastModifiedBy>
  <cp:revision>12</cp:revision>
  <dcterms:created xsi:type="dcterms:W3CDTF">2022-02-16T05:41:00Z</dcterms:created>
  <dcterms:modified xsi:type="dcterms:W3CDTF">2022-02-16T06:01:00Z</dcterms:modified>
</cp:coreProperties>
</file>