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0E73B" w14:textId="5A00F9F2" w:rsidR="00032554" w:rsidRPr="00DD6A45" w:rsidRDefault="00B301E6" w:rsidP="00DD6A45">
      <w:pPr>
        <w:pStyle w:val="Ttulo1"/>
        <w:spacing w:before="170"/>
        <w:ind w:left="-142"/>
        <w:rPr>
          <w:rFonts w:ascii="Arial" w:eastAsia="Tw Cen MT" w:hAnsi="Tw Cen MT" w:cs="Tw Cen MT"/>
          <w:bCs w:val="0"/>
          <w:color w:val="365F91" w:themeColor="accent1" w:themeShade="BF"/>
          <w:sz w:val="32"/>
          <w:szCs w:val="32"/>
        </w:rPr>
      </w:pPr>
      <w:r w:rsidRPr="00B301E6">
        <w:rPr>
          <w:rFonts w:ascii="Arial" w:eastAsia="Tw Cen MT" w:hAnsi="Tw Cen MT" w:cs="Tw Cen MT"/>
          <w:bCs w:val="0"/>
          <w:color w:val="365F91" w:themeColor="accent1" w:themeShade="BF"/>
          <w:sz w:val="32"/>
          <w:szCs w:val="32"/>
        </w:rPr>
        <w:t>Biosimilars in LATAM</w:t>
      </w:r>
      <w:r>
        <w:rPr>
          <w:rFonts w:ascii="Arial" w:eastAsia="Tw Cen MT" w:hAnsi="Tw Cen MT" w:cs="Tw Cen MT"/>
          <w:bCs w:val="0"/>
          <w:color w:val="365F91" w:themeColor="accent1" w:themeShade="BF"/>
          <w:sz w:val="32"/>
          <w:szCs w:val="32"/>
        </w:rPr>
        <w:t>: A Regulatory Update and Review</w:t>
      </w:r>
      <w:r w:rsidR="00DD6A45">
        <w:rPr>
          <w:rFonts w:ascii="Arial" w:eastAsia="Tw Cen MT" w:hAnsi="Tw Cen MT" w:cs="Tw Cen MT"/>
          <w:bCs w:val="0"/>
          <w:color w:val="365F91" w:themeColor="accent1" w:themeShade="BF"/>
          <w:sz w:val="32"/>
          <w:szCs w:val="32"/>
        </w:rPr>
        <w:br/>
      </w:r>
      <w:r w:rsidRPr="00B301E6">
        <w:rPr>
          <w:rFonts w:ascii="Arial"/>
          <w:sz w:val="22"/>
          <w:szCs w:val="22"/>
        </w:rPr>
        <w:t>Alcala Carmona LG, Pharm D, Mexico City, Mexico</w:t>
      </w:r>
    </w:p>
    <w:p w14:paraId="6F83900F" w14:textId="77777777" w:rsidR="00032554" w:rsidRDefault="00032554" w:rsidP="00DD1A36">
      <w:pPr>
        <w:pStyle w:val="Textoindependiente"/>
        <w:spacing w:before="3"/>
        <w:jc w:val="both"/>
        <w:rPr>
          <w:rFonts w:ascii="Arial"/>
          <w:sz w:val="21"/>
        </w:rPr>
      </w:pPr>
    </w:p>
    <w:p w14:paraId="253A702F" w14:textId="77777777"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14:paraId="4DEE81BB" w14:textId="77777777" w:rsidR="00032554" w:rsidRPr="003B621A" w:rsidRDefault="00705081" w:rsidP="00DD1A36">
      <w:pPr>
        <w:pStyle w:val="Ttulo3"/>
        <w:spacing w:before="147"/>
        <w:jc w:val="both"/>
        <w:rPr>
          <w:sz w:val="24"/>
          <w:szCs w:val="24"/>
        </w:rPr>
      </w:pPr>
      <w:r>
        <w:rPr>
          <w:color w:val="BF5A14"/>
          <w:sz w:val="24"/>
          <w:szCs w:val="24"/>
        </w:rPr>
        <w:br/>
      </w:r>
      <w:r w:rsidR="00032554" w:rsidRPr="003B621A">
        <w:rPr>
          <w:color w:val="BF5A14"/>
          <w:sz w:val="24"/>
          <w:szCs w:val="24"/>
        </w:rPr>
        <w:t>Abstract (300 word limit)</w:t>
      </w:r>
    </w:p>
    <w:p w14:paraId="7B9354B9" w14:textId="77777777" w:rsidR="00B301E6" w:rsidRPr="00B301E6" w:rsidRDefault="00B301E6" w:rsidP="00B301E6">
      <w:pPr>
        <w:pStyle w:val="Textoindependiente"/>
        <w:spacing w:before="90" w:line="280" w:lineRule="auto"/>
        <w:ind w:left="100"/>
        <w:rPr>
          <w:rFonts w:ascii="Arial" w:eastAsia="Minion Pro" w:hAnsi="Minion Pro" w:cs="Minion Pro"/>
          <w:bCs/>
          <w:sz w:val="20"/>
          <w:szCs w:val="20"/>
        </w:rPr>
      </w:pPr>
      <w:r w:rsidRPr="00B301E6">
        <w:rPr>
          <w:rFonts w:ascii="Arial" w:eastAsia="Minion Pro" w:hAnsi="Minion Pro" w:cs="Minion Pro"/>
          <w:bCs/>
          <w:sz w:val="20"/>
          <w:szCs w:val="20"/>
        </w:rPr>
        <w:t xml:space="preserve">Biological products, as well as other medical supplies, are regulated in each country by the competent health authority (HA). According to the FDA, they are used to diagnose, prevent, treat, and cure diseases and medical conditions. The difference with a more traditional drug is that the Active Pharmaceutical Ingredient (API), or APIs, are produced by processing chemical compounds, whereas in a biological drug, the active ingredient is known as Bulk Process Intermediate (BPI), and it is made by biotechnology in a living system, such as a microorganism, plant cell, or animal cell. </w:t>
      </w:r>
    </w:p>
    <w:p w14:paraId="5E26486C" w14:textId="77777777" w:rsidR="00B301E6" w:rsidRPr="00B301E6" w:rsidRDefault="00B301E6" w:rsidP="00B301E6">
      <w:pPr>
        <w:pStyle w:val="Textoindependiente"/>
        <w:spacing w:before="90" w:line="280" w:lineRule="auto"/>
        <w:ind w:left="100"/>
        <w:rPr>
          <w:rFonts w:ascii="Arial" w:eastAsia="Minion Pro" w:hAnsi="Minion Pro" w:cs="Minion Pro"/>
          <w:bCs/>
          <w:sz w:val="20"/>
          <w:szCs w:val="20"/>
        </w:rPr>
      </w:pPr>
      <w:r w:rsidRPr="00B301E6">
        <w:rPr>
          <w:rFonts w:ascii="Arial" w:eastAsia="Minion Pro" w:hAnsi="Minion Pro" w:cs="Minion Pro"/>
          <w:bCs/>
          <w:sz w:val="20"/>
          <w:szCs w:val="20"/>
        </w:rPr>
        <w:t xml:space="preserve">The first biopharmaceutical drug was approved in 1982 by FDA, recombinant human insulin. By 2022, FDA reports that there are over 621 FDA-licensed biologics products, and the global biotechnology market size was estimated at USD 1, 023.92 billion in 2021, with an expected growth during the next years. With this in mind, and considering that old patents are coming off, other companies can offer new biological products or biosimilar products. A biosimilar is defined by FDA as </w:t>
      </w:r>
      <w:r w:rsidRPr="00B301E6">
        <w:rPr>
          <w:rFonts w:ascii="Arial" w:eastAsia="Minion Pro" w:hAnsi="Minion Pro" w:cs="Minion Pro"/>
          <w:bCs/>
          <w:sz w:val="20"/>
          <w:szCs w:val="20"/>
        </w:rPr>
        <w:t>“</w:t>
      </w:r>
      <w:r w:rsidRPr="00B301E6">
        <w:rPr>
          <w:rFonts w:ascii="Arial" w:eastAsia="Minion Pro" w:hAnsi="Minion Pro" w:cs="Minion Pro"/>
          <w:bCs/>
          <w:sz w:val="20"/>
          <w:szCs w:val="20"/>
        </w:rPr>
        <w:t>A biological product that is highly similar to and has no clinically meaningful differences from an existing FDA-approved reference product</w:t>
      </w:r>
      <w:r w:rsidRPr="00B301E6">
        <w:rPr>
          <w:rFonts w:ascii="Arial" w:eastAsia="Minion Pro" w:hAnsi="Minion Pro" w:cs="Minion Pro"/>
          <w:bCs/>
          <w:sz w:val="20"/>
          <w:szCs w:val="20"/>
        </w:rPr>
        <w:t>”</w:t>
      </w:r>
      <w:r w:rsidRPr="00B301E6">
        <w:rPr>
          <w:rFonts w:ascii="Arial" w:eastAsia="Minion Pro" w:hAnsi="Minion Pro" w:cs="Minion Pro"/>
          <w:bCs/>
          <w:sz w:val="20"/>
          <w:szCs w:val="20"/>
        </w:rPr>
        <w:t xml:space="preserve"> (a biological product previously approved).</w:t>
      </w:r>
    </w:p>
    <w:p w14:paraId="51F3C7C9" w14:textId="2DFCD6FC" w:rsidR="00032554" w:rsidRDefault="00B301E6" w:rsidP="00B301E6">
      <w:pPr>
        <w:pStyle w:val="Textoindependiente"/>
        <w:spacing w:before="90" w:line="280" w:lineRule="auto"/>
        <w:ind w:left="100"/>
        <w:jc w:val="both"/>
        <w:rPr>
          <w:rFonts w:ascii="Arial" w:eastAsia="Minion Pro" w:hAnsi="Minion Pro" w:cs="Minion Pro"/>
          <w:bCs/>
          <w:sz w:val="20"/>
          <w:szCs w:val="20"/>
        </w:rPr>
      </w:pPr>
      <w:r w:rsidRPr="00B301E6">
        <w:rPr>
          <w:rFonts w:ascii="Arial" w:eastAsia="Minion Pro" w:hAnsi="Minion Pro" w:cs="Minion Pro"/>
          <w:bCs/>
          <w:sz w:val="20"/>
          <w:szCs w:val="20"/>
        </w:rPr>
        <w:t xml:space="preserve"> Biosimilars can be seen as new therapeutic alternatives, as a way of reducing costs for the patients or the insurance, and able to provide the patients with a faster product, as biosimilars typically have a timeline for approval of 8 years vs &lt;12 years of the reference or innovator drug, not to mention the reduce on the development budget of around 10-15%</w:t>
      </w:r>
      <w:r w:rsidR="00032554" w:rsidRPr="003B621A">
        <w:rPr>
          <w:rFonts w:ascii="Arial" w:eastAsia="Minion Pro" w:hAnsi="Minion Pro" w:cs="Minion Pro"/>
          <w:bCs/>
          <w:sz w:val="20"/>
          <w:szCs w:val="20"/>
        </w:rPr>
        <w:t>.</w:t>
      </w:r>
    </w:p>
    <w:p w14:paraId="6EDBBBCF" w14:textId="322D814B" w:rsidR="00B301E6" w:rsidRPr="003B621A" w:rsidRDefault="00B301E6" w:rsidP="00B301E6">
      <w:pPr>
        <w:pStyle w:val="Textoindependiente"/>
        <w:spacing w:before="90" w:line="280" w:lineRule="auto"/>
        <w:ind w:left="100"/>
        <w:jc w:val="both"/>
        <w:rPr>
          <w:rFonts w:ascii="Arial" w:eastAsia="Minion Pro" w:hAnsi="Minion Pro" w:cs="Minion Pro"/>
          <w:bCs/>
          <w:sz w:val="20"/>
          <w:szCs w:val="20"/>
        </w:rPr>
      </w:pPr>
      <w:r>
        <w:rPr>
          <w:rFonts w:ascii="Arial" w:eastAsia="Minion Pro" w:hAnsi="Minion Pro" w:cs="Minion Pro"/>
          <w:bCs/>
          <w:sz w:val="20"/>
          <w:szCs w:val="20"/>
        </w:rPr>
        <w:t xml:space="preserve">A region where pharmaceutical companies have started to focus on, is the LATAM region. </w:t>
      </w:r>
      <w:r w:rsidR="005E6D43">
        <w:rPr>
          <w:rFonts w:ascii="Arial" w:eastAsia="Minion Pro" w:hAnsi="Minion Pro" w:cs="Minion Pro"/>
          <w:bCs/>
          <w:sz w:val="20"/>
          <w:szCs w:val="20"/>
        </w:rPr>
        <w:t xml:space="preserve">We are talking about 33 countries, home of 2 emerging economies, and more than 652 million of people, that will need new, effective and safe therapeutics alternatives, and biosimilars are hoping to help into this goal.   </w:t>
      </w:r>
      <w:r>
        <w:rPr>
          <w:rFonts w:ascii="Arial" w:eastAsia="Minion Pro" w:hAnsi="Minion Pro" w:cs="Minion Pro"/>
          <w:bCs/>
          <w:sz w:val="20"/>
          <w:szCs w:val="20"/>
        </w:rPr>
        <w:t xml:space="preserve"> </w:t>
      </w:r>
    </w:p>
    <w:p w14:paraId="10445698" w14:textId="77777777" w:rsidR="00032554" w:rsidRDefault="00032554" w:rsidP="00DD1A36">
      <w:pPr>
        <w:pStyle w:val="Ttulo3"/>
        <w:spacing w:before="74"/>
        <w:jc w:val="both"/>
        <w:rPr>
          <w:rFonts w:ascii="Calibri" w:hAnsi="Calibri"/>
        </w:rPr>
      </w:pPr>
      <w:r>
        <w:rPr>
          <w:b w:val="0"/>
        </w:rPr>
        <w:br w:type="column"/>
      </w:r>
    </w:p>
    <w:p w14:paraId="28BAC044" w14:textId="77777777" w:rsidR="00032554" w:rsidRPr="008756E6" w:rsidRDefault="00032554" w:rsidP="00DD1A36">
      <w:pPr>
        <w:tabs>
          <w:tab w:val="left" w:pos="384"/>
        </w:tabs>
        <w:ind w:right="117"/>
        <w:jc w:val="both"/>
      </w:pPr>
    </w:p>
    <w:p w14:paraId="1F6EA947" w14:textId="77777777"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14:paraId="7360C196" w14:textId="77777777" w:rsidR="00032554" w:rsidRDefault="00032554" w:rsidP="00DD1A36">
      <w:pPr>
        <w:pStyle w:val="Textoindependiente"/>
        <w:jc w:val="both"/>
        <w:rPr>
          <w:rFonts w:ascii="Calibri"/>
          <w:sz w:val="20"/>
        </w:rPr>
      </w:pPr>
    </w:p>
    <w:p w14:paraId="61EF8B8E" w14:textId="77777777" w:rsidR="00DD1A36" w:rsidRPr="003B621A" w:rsidRDefault="00032554" w:rsidP="003B621A">
      <w:pPr>
        <w:pStyle w:val="Textoindependiente"/>
        <w:spacing w:line="40" w:lineRule="exact"/>
        <w:ind w:left="2202"/>
        <w:jc w:val="both"/>
        <w:rPr>
          <w:rFonts w:ascii="Calibri"/>
          <w:sz w:val="4"/>
        </w:rPr>
      </w:pPr>
      <w:r>
        <w:rPr>
          <w:rFonts w:ascii="Calibri"/>
          <w:noProof/>
          <w:sz w:val="4"/>
        </w:rPr>
        <mc:AlternateContent>
          <mc:Choice Requires="wpg">
            <w:drawing>
              <wp:inline distT="0" distB="0" distL="0" distR="0" wp14:anchorId="1054BDFB" wp14:editId="1E0907D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331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Pr>
          <w:noProof/>
        </w:rPr>
        <w:t xml:space="preserve">           </w:t>
      </w:r>
    </w:p>
    <w:p w14:paraId="3DC9AE5D" w14:textId="77777777" w:rsidR="00DD1A36" w:rsidRDefault="000925EE" w:rsidP="00DD1A36">
      <w:pPr>
        <w:spacing w:before="92"/>
        <w:ind w:right="4234"/>
        <w:jc w:val="both"/>
        <w:rPr>
          <w:noProof/>
        </w:rPr>
      </w:pPr>
      <w:r>
        <w:rPr>
          <w:noProof/>
        </w:rPr>
        <w:br/>
      </w:r>
    </w:p>
    <w:p w14:paraId="7D32EF36" w14:textId="241694E1" w:rsidR="00032554" w:rsidRDefault="00032554" w:rsidP="00705081">
      <w:pPr>
        <w:spacing w:before="92"/>
        <w:ind w:right="798"/>
        <w:rPr>
          <w:rFonts w:ascii="Arial"/>
          <w:color w:val="BF5A14"/>
        </w:rPr>
      </w:pPr>
      <w:r>
        <w:rPr>
          <w:noProof/>
        </w:rPr>
        <w:t xml:space="preserve">  </w:t>
      </w:r>
      <w:r w:rsidR="00B301E6">
        <w:rPr>
          <w:noProof/>
        </w:rPr>
        <w:drawing>
          <wp:inline distT="0" distB="0" distL="0" distR="0" wp14:anchorId="19E748C9" wp14:editId="58E00EA6">
            <wp:extent cx="571500" cy="571500"/>
            <wp:effectExtent l="0" t="0" r="0" b="0"/>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 xml:space="preserve">Biography </w:t>
      </w:r>
      <w:r w:rsidR="00705081">
        <w:rPr>
          <w:b/>
          <w:color w:val="E36C0A" w:themeColor="accent6" w:themeShade="BF"/>
          <w:sz w:val="28"/>
          <w:szCs w:val="28"/>
        </w:rPr>
        <w:br/>
      </w:r>
    </w:p>
    <w:p w14:paraId="260FEB1F" w14:textId="171D9836" w:rsidR="003B621A" w:rsidRDefault="00B301E6" w:rsidP="003B621A">
      <w:pPr>
        <w:jc w:val="both"/>
      </w:pPr>
      <w:r w:rsidRPr="00B301E6">
        <w:t>Luis Gerardo Alcalá is a regulatory affairs expert based in Mexico City. During his career, he has shown a strong devotion to bringing into the market medical supplies of the best quality, that are safe and effective for the patients. He has built differently proven regulatory strategies for national and international companies, having been able to collaborate with companies from around the World, such as the USA, Brazil, Argentina, Chile, Colombia, France, Germany, The UK, Italy, China, Japan, South Korea, among others. His expertise line includes medical devices, medical drugs, and biotechnology drugs, which include generic and innovative drugs. Having worked with new registers, variations, and renewals. Having been able to collaborate directly with Big Pharma company, Luis also specializes in newly formed companies, always focusing on the best possible regulatory path and having in mind the safety of the patients, as he always says “We are all potential patients</w:t>
      </w:r>
      <w:r w:rsidRPr="00B301E6">
        <w:t>”.</w:t>
      </w:r>
    </w:p>
    <w:p w14:paraId="4BBBCB85" w14:textId="77777777" w:rsidR="00032554" w:rsidRDefault="00032554" w:rsidP="00DD1A36">
      <w:pPr>
        <w:pStyle w:val="Textoindependiente"/>
        <w:spacing w:before="7"/>
        <w:jc w:val="both"/>
        <w:rPr>
          <w:rFonts w:ascii="Arial"/>
          <w:sz w:val="29"/>
        </w:rPr>
      </w:pPr>
    </w:p>
    <w:p w14:paraId="7E7B7D30" w14:textId="78F1AF79" w:rsidR="00711700" w:rsidRPr="003B621A" w:rsidRDefault="00711700" w:rsidP="003B621A">
      <w:pPr>
        <w:jc w:val="both"/>
        <w:rPr>
          <w:b/>
          <w:color w:val="E36C0A" w:themeColor="accent6" w:themeShade="BF"/>
        </w:rPr>
      </w:pPr>
      <w:r w:rsidRPr="003B621A">
        <w:rPr>
          <w:b/>
          <w:color w:val="E36C0A" w:themeColor="accent6" w:themeShade="BF"/>
        </w:rPr>
        <w:t>Name:</w:t>
      </w:r>
      <w:r w:rsidR="00B301E6">
        <w:rPr>
          <w:b/>
          <w:color w:val="E36C0A" w:themeColor="accent6" w:themeShade="BF"/>
        </w:rPr>
        <w:t xml:space="preserve"> Luis Gerardo Alcala Carmona</w:t>
      </w:r>
    </w:p>
    <w:p w14:paraId="627E8C67" w14:textId="7CB3E8B8" w:rsidR="00711700" w:rsidRPr="003B621A" w:rsidRDefault="00711700" w:rsidP="003B621A">
      <w:pPr>
        <w:jc w:val="both"/>
        <w:rPr>
          <w:b/>
          <w:color w:val="E36C0A" w:themeColor="accent6" w:themeShade="BF"/>
        </w:rPr>
      </w:pPr>
      <w:r w:rsidRPr="003B621A">
        <w:rPr>
          <w:b/>
          <w:color w:val="E36C0A" w:themeColor="accent6" w:themeShade="BF"/>
        </w:rPr>
        <w:t>Affiliation:</w:t>
      </w:r>
      <w:r w:rsidR="00B301E6">
        <w:rPr>
          <w:b/>
          <w:color w:val="E36C0A" w:themeColor="accent6" w:themeShade="BF"/>
        </w:rPr>
        <w:t xml:space="preserve"> NA</w:t>
      </w:r>
    </w:p>
    <w:p w14:paraId="2BDD2FE6" w14:textId="27492931" w:rsidR="00711700" w:rsidRPr="003B621A" w:rsidRDefault="00711700" w:rsidP="003B621A">
      <w:pPr>
        <w:jc w:val="both"/>
        <w:rPr>
          <w:b/>
          <w:color w:val="E36C0A" w:themeColor="accent6" w:themeShade="BF"/>
        </w:rPr>
      </w:pPr>
      <w:r w:rsidRPr="003B621A">
        <w:rPr>
          <w:b/>
          <w:color w:val="E36C0A" w:themeColor="accent6" w:themeShade="BF"/>
        </w:rPr>
        <w:t>University:</w:t>
      </w:r>
      <w:r w:rsidR="00B301E6">
        <w:rPr>
          <w:b/>
          <w:color w:val="E36C0A" w:themeColor="accent6" w:themeShade="BF"/>
        </w:rPr>
        <w:t xml:space="preserve"> Universidad Nacional </w:t>
      </w:r>
      <w:proofErr w:type="spellStart"/>
      <w:r w:rsidR="00B301E6">
        <w:rPr>
          <w:b/>
          <w:color w:val="E36C0A" w:themeColor="accent6" w:themeShade="BF"/>
        </w:rPr>
        <w:t>Autonoma</w:t>
      </w:r>
      <w:proofErr w:type="spellEnd"/>
      <w:r w:rsidR="00B301E6">
        <w:rPr>
          <w:b/>
          <w:color w:val="E36C0A" w:themeColor="accent6" w:themeShade="BF"/>
        </w:rPr>
        <w:t xml:space="preserve"> de Mexico (UNAM)</w:t>
      </w:r>
    </w:p>
    <w:p w14:paraId="5F835448" w14:textId="4BD94092" w:rsidR="00711700" w:rsidRPr="003B621A" w:rsidRDefault="00711700" w:rsidP="003B621A">
      <w:pPr>
        <w:jc w:val="both"/>
        <w:rPr>
          <w:b/>
          <w:color w:val="E36C0A" w:themeColor="accent6" w:themeShade="BF"/>
        </w:rPr>
      </w:pPr>
      <w:r w:rsidRPr="003B621A">
        <w:rPr>
          <w:b/>
          <w:color w:val="E36C0A" w:themeColor="accent6" w:themeShade="BF"/>
        </w:rPr>
        <w:t>Country:</w:t>
      </w:r>
      <w:r w:rsidR="00B301E6">
        <w:rPr>
          <w:b/>
          <w:color w:val="E36C0A" w:themeColor="accent6" w:themeShade="BF"/>
        </w:rPr>
        <w:t xml:space="preserve"> Mexico</w:t>
      </w:r>
    </w:p>
    <w:p w14:paraId="4C45442B" w14:textId="5CBA4853" w:rsidR="00711700" w:rsidRPr="003B621A" w:rsidRDefault="00711700" w:rsidP="00B301E6">
      <w:pPr>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B301E6">
        <w:rPr>
          <w:b/>
          <w:color w:val="E36C0A" w:themeColor="accent6" w:themeShade="BF"/>
        </w:rPr>
        <w:t xml:space="preserve"> lgalcalac@outlook.com</w:t>
      </w:r>
      <w:r w:rsidR="003B621A" w:rsidRPr="003B621A">
        <w:rPr>
          <w:b/>
          <w:color w:val="E36C0A" w:themeColor="accent6" w:themeShade="BF"/>
        </w:rPr>
        <w:t xml:space="preserve"> </w:t>
      </w:r>
      <w:r w:rsidR="00B301E6">
        <w:rPr>
          <w:b/>
          <w:color w:val="E36C0A" w:themeColor="accent6" w:themeShade="BF"/>
        </w:rPr>
        <w:t xml:space="preserve"> </w:t>
      </w:r>
    </w:p>
    <w:p w14:paraId="185502AF" w14:textId="3AEC43C3" w:rsidR="000066D5" w:rsidRPr="003B621A" w:rsidRDefault="003B621A" w:rsidP="00DD1A36">
      <w:pPr>
        <w:jc w:val="both"/>
        <w:rPr>
          <w:b/>
          <w:color w:val="E36C0A" w:themeColor="accent6" w:themeShade="BF"/>
        </w:rPr>
      </w:pPr>
      <w:r w:rsidRPr="003B621A">
        <w:rPr>
          <w:b/>
          <w:color w:val="E36C0A" w:themeColor="accent6" w:themeShade="BF"/>
        </w:rPr>
        <w:t>Tel:</w:t>
      </w:r>
      <w:r w:rsidR="00B301E6">
        <w:rPr>
          <w:b/>
          <w:color w:val="E36C0A" w:themeColor="accent6" w:themeShade="BF"/>
        </w:rPr>
        <w:t xml:space="preserve"> +52 55 31 89 38 18</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2C750" w14:textId="77777777" w:rsidR="00881955" w:rsidRDefault="00881955">
      <w:r>
        <w:separator/>
      </w:r>
    </w:p>
  </w:endnote>
  <w:endnote w:type="continuationSeparator" w:id="0">
    <w:p w14:paraId="2000A06F" w14:textId="77777777" w:rsidR="00881955" w:rsidRDefault="00881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147F9" w14:textId="77777777" w:rsidR="00000000" w:rsidRDefault="00032554">
    <w:pPr>
      <w:pStyle w:val="Textoindependiente"/>
      <w:spacing w:line="14" w:lineRule="auto"/>
      <w:rPr>
        <w:sz w:val="20"/>
      </w:rPr>
    </w:pPr>
    <w:r>
      <w:rPr>
        <w:noProof/>
      </w:rPr>
      <mc:AlternateContent>
        <mc:Choice Requires="wps">
          <w:drawing>
            <wp:anchor distT="0" distB="0" distL="114300" distR="114300" simplePos="0" relativeHeight="251661312" behindDoc="1" locked="0" layoutInCell="1" allowOverlap="1" wp14:anchorId="722EC095" wp14:editId="069EFD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F6B2" w14:textId="77777777" w:rsidR="00000000"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A2E805" w14:textId="77777777" w:rsidR="00000000"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EC09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336F6B2" w14:textId="77777777" w:rsidR="00000000"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A2E805" w14:textId="77777777" w:rsidR="00000000"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C71F9F1" wp14:editId="5B8E65B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9A418" w14:textId="77777777" w:rsidR="00000000"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391386" w14:textId="77777777" w:rsidR="00000000"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1F9F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699A418" w14:textId="77777777" w:rsidR="00000000"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391386" w14:textId="77777777" w:rsidR="00000000"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0E13584" wp14:editId="5ACEAB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8D53D" w14:textId="77777777" w:rsidR="00000000"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9477A" w14:textId="77777777" w:rsidR="00000000"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13584"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8B8D53D" w14:textId="77777777" w:rsidR="00000000"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9477A" w14:textId="77777777" w:rsidR="00000000"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CDF8B" w14:textId="77777777" w:rsidR="00881955" w:rsidRDefault="00881955">
      <w:r>
        <w:separator/>
      </w:r>
    </w:p>
  </w:footnote>
  <w:footnote w:type="continuationSeparator" w:id="0">
    <w:p w14:paraId="53CD76F0" w14:textId="77777777" w:rsidR="00881955" w:rsidRDefault="00881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2CBD" w14:textId="77777777" w:rsidR="00000000" w:rsidRDefault="00032554">
    <w:pPr>
      <w:pStyle w:val="Textoindependiente"/>
      <w:spacing w:line="14" w:lineRule="auto"/>
      <w:rPr>
        <w:sz w:val="20"/>
      </w:rPr>
    </w:pPr>
    <w:r>
      <w:rPr>
        <w:noProof/>
      </w:rPr>
      <mc:AlternateContent>
        <mc:Choice Requires="wps">
          <w:drawing>
            <wp:anchor distT="0" distB="0" distL="114300" distR="114300" simplePos="0" relativeHeight="251659264" behindDoc="1" locked="0" layoutInCell="1" allowOverlap="1" wp14:anchorId="11C55A15" wp14:editId="5B1D87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79782" w14:textId="77777777" w:rsidR="00000000" w:rsidRPr="005B3A56" w:rsidRDefault="00000000">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55A1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5879782" w14:textId="77777777" w:rsidR="00000000" w:rsidRPr="005B3A56" w:rsidRDefault="00000000">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6D8E335" wp14:editId="199131C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24720" w14:textId="77777777" w:rsidR="00000000" w:rsidRPr="005B3A56" w:rsidRDefault="00032554">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9F59AF" w14:textId="77777777" w:rsidR="00000000"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8E33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DF24720" w14:textId="77777777" w:rsidR="00000000" w:rsidRPr="005B3A56" w:rsidRDefault="00032554">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9F59AF" w14:textId="77777777" w:rsidR="00000000"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16cid:durableId="3724037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554"/>
    <w:rsid w:val="000066D5"/>
    <w:rsid w:val="00032554"/>
    <w:rsid w:val="0008550C"/>
    <w:rsid w:val="000925EE"/>
    <w:rsid w:val="003B621A"/>
    <w:rsid w:val="003E0C88"/>
    <w:rsid w:val="00430533"/>
    <w:rsid w:val="004351F7"/>
    <w:rsid w:val="004917DE"/>
    <w:rsid w:val="004A12F9"/>
    <w:rsid w:val="00501B5C"/>
    <w:rsid w:val="0053586C"/>
    <w:rsid w:val="005E6D43"/>
    <w:rsid w:val="00705081"/>
    <w:rsid w:val="00711700"/>
    <w:rsid w:val="00737737"/>
    <w:rsid w:val="00881955"/>
    <w:rsid w:val="0090222C"/>
    <w:rsid w:val="00A423C9"/>
    <w:rsid w:val="00B301E6"/>
    <w:rsid w:val="00BD0D31"/>
    <w:rsid w:val="00CD6A1D"/>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93B5"/>
  <w15:docId w15:val="{417A3493-FF5D-4B3E-B9C5-3F327DFF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032554"/>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32554"/>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032554"/>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032554"/>
    <w:rPr>
      <w:sz w:val="18"/>
      <w:szCs w:val="18"/>
    </w:rPr>
  </w:style>
  <w:style w:type="character" w:customStyle="1" w:styleId="TextoindependienteCar">
    <w:name w:val="Texto independiente Car"/>
    <w:basedOn w:val="Fuentedeprrafopredeter"/>
    <w:link w:val="Textoindependiente"/>
    <w:uiPriority w:val="1"/>
    <w:rsid w:val="00032554"/>
    <w:rPr>
      <w:rFonts w:ascii="Tw Cen MT" w:eastAsia="Tw Cen MT" w:hAnsi="Tw Cen MT" w:cs="Tw Cen MT"/>
      <w:sz w:val="18"/>
      <w:szCs w:val="18"/>
      <w:lang w:val="en-US"/>
    </w:rPr>
  </w:style>
  <w:style w:type="paragraph" w:styleId="Prrafodelista">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032554"/>
    <w:rPr>
      <w:color w:val="0000FF" w:themeColor="hyperlink"/>
      <w:u w:val="single"/>
    </w:rPr>
  </w:style>
  <w:style w:type="paragraph" w:styleId="Textodeglobo">
    <w:name w:val="Balloon Text"/>
    <w:basedOn w:val="Normal"/>
    <w:link w:val="TextodegloboCar"/>
    <w:uiPriority w:val="99"/>
    <w:semiHidden/>
    <w:unhideWhenUsed/>
    <w:rsid w:val="00032554"/>
    <w:rPr>
      <w:rFonts w:ascii="Tahoma" w:hAnsi="Tahoma" w:cs="Tahoma"/>
      <w:sz w:val="16"/>
      <w:szCs w:val="16"/>
    </w:rPr>
  </w:style>
  <w:style w:type="character" w:customStyle="1" w:styleId="TextodegloboCar">
    <w:name w:val="Texto de globo Car"/>
    <w:basedOn w:val="Fuentedeprrafopredeter"/>
    <w:link w:val="Textodeglobo"/>
    <w:uiPriority w:val="99"/>
    <w:semiHidden/>
    <w:rsid w:val="00032554"/>
    <w:rPr>
      <w:rFonts w:ascii="Tahoma" w:eastAsia="Tw Cen MT" w:hAnsi="Tahoma" w:cs="Tahoma"/>
      <w:sz w:val="16"/>
      <w:szCs w:val="16"/>
      <w:lang w:val="en-US"/>
    </w:rPr>
  </w:style>
  <w:style w:type="paragraph" w:styleId="Encabezado">
    <w:name w:val="header"/>
    <w:basedOn w:val="Normal"/>
    <w:link w:val="EncabezadoCar"/>
    <w:uiPriority w:val="99"/>
    <w:unhideWhenUsed/>
    <w:rsid w:val="0053586C"/>
    <w:pPr>
      <w:tabs>
        <w:tab w:val="center" w:pos="4513"/>
        <w:tab w:val="right" w:pos="9026"/>
      </w:tabs>
    </w:pPr>
  </w:style>
  <w:style w:type="character" w:customStyle="1" w:styleId="EncabezadoCar">
    <w:name w:val="Encabezado Car"/>
    <w:basedOn w:val="Fuentedeprrafopredeter"/>
    <w:link w:val="Encabezado"/>
    <w:uiPriority w:val="99"/>
    <w:rsid w:val="0053586C"/>
    <w:rPr>
      <w:rFonts w:ascii="Tw Cen MT" w:eastAsia="Tw Cen MT" w:hAnsi="Tw Cen MT" w:cs="Tw Cen MT"/>
      <w:lang w:val="en-US"/>
    </w:rPr>
  </w:style>
  <w:style w:type="paragraph" w:styleId="Piedepgina">
    <w:name w:val="footer"/>
    <w:basedOn w:val="Normal"/>
    <w:link w:val="PiedepginaCar"/>
    <w:uiPriority w:val="99"/>
    <w:unhideWhenUsed/>
    <w:rsid w:val="0053586C"/>
    <w:pPr>
      <w:tabs>
        <w:tab w:val="center" w:pos="4513"/>
        <w:tab w:val="right" w:pos="9026"/>
      </w:tabs>
    </w:pPr>
  </w:style>
  <w:style w:type="character" w:customStyle="1" w:styleId="PiedepginaCar">
    <w:name w:val="Pie de página Car"/>
    <w:basedOn w:val="Fuentedeprrafopredeter"/>
    <w:link w:val="Piedepgina"/>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501</Words>
  <Characters>2756</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Luis Gerardo Alcala</cp:lastModifiedBy>
  <cp:revision>4</cp:revision>
  <dcterms:created xsi:type="dcterms:W3CDTF">2022-01-18T05:21:00Z</dcterms:created>
  <dcterms:modified xsi:type="dcterms:W3CDTF">2023-08-19T18:11:00Z</dcterms:modified>
</cp:coreProperties>
</file>